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6C0B4" w14:textId="77777777" w:rsidR="00F41A69" w:rsidRPr="007A760D" w:rsidRDefault="00F41A69" w:rsidP="00F41A69">
      <w:pPr>
        <w:pStyle w:val="Title"/>
        <w:spacing w:before="0" w:after="0"/>
        <w:jc w:val="left"/>
        <w:rPr>
          <w:rFonts w:ascii="Calibri Light" w:hAnsi="Calibri Light" w:cs="Calibri Light"/>
          <w:color w:val="auto"/>
        </w:rPr>
      </w:pPr>
      <w:bookmarkStart w:id="0" w:name="introduction"/>
      <w:bookmarkEnd w:id="0"/>
      <w:r w:rsidRPr="007A760D">
        <w:rPr>
          <w:rFonts w:ascii="Calibri Light" w:hAnsi="Calibri Light" w:cs="Calibri Light"/>
          <w:color w:val="auto"/>
        </w:rPr>
        <w:t xml:space="preserve">National Street Improvements Study: </w:t>
      </w:r>
    </w:p>
    <w:p w14:paraId="650B7EFF" w14:textId="0336FC73" w:rsidR="00F41A69" w:rsidRPr="007A760D" w:rsidRDefault="00F41A69" w:rsidP="00F41A69">
      <w:pPr>
        <w:pStyle w:val="Title"/>
        <w:spacing w:before="0" w:after="0"/>
        <w:jc w:val="left"/>
        <w:rPr>
          <w:rFonts w:ascii="Calibri Light" w:hAnsi="Calibri Light" w:cs="Calibri Light"/>
          <w:color w:val="auto"/>
        </w:rPr>
      </w:pPr>
      <w:r>
        <w:rPr>
          <w:rFonts w:ascii="Calibri Light" w:hAnsi="Calibri Light" w:cs="Calibri Light"/>
          <w:color w:val="auto"/>
        </w:rPr>
        <w:t>Indianapolis</w:t>
      </w:r>
      <w:r w:rsidR="00751D53">
        <w:rPr>
          <w:rFonts w:ascii="Calibri Light" w:hAnsi="Calibri Light" w:cs="Calibri Light"/>
          <w:color w:val="auto"/>
        </w:rPr>
        <w:t>, IN Report</w:t>
      </w:r>
    </w:p>
    <w:p w14:paraId="0513F307" w14:textId="77777777" w:rsidR="00A61086" w:rsidRDefault="00FF17C4" w:rsidP="00F41A69">
      <w:pPr>
        <w:pStyle w:val="Heading1"/>
        <w:spacing w:before="240"/>
      </w:pPr>
      <w:r>
        <w:t>Introduction</w:t>
      </w:r>
    </w:p>
    <w:p w14:paraId="695F06B8" w14:textId="77777777" w:rsidR="00F14DA5" w:rsidRDefault="00F14DA5" w:rsidP="00F14DA5">
      <w:r>
        <w:t>Across the country, policymakers and planning departments are making cities more livable by better accommodating people who walk and bike. Improving streets and upgrading transportati</w:t>
      </w:r>
      <w:r w:rsidR="0068333D">
        <w:t>on infrastructure often require</w:t>
      </w:r>
      <w:r>
        <w:t xml:space="preserve"> reducing</w:t>
      </w:r>
      <w:r w:rsidRPr="00ED40D8">
        <w:t xml:space="preserve"> on-street parking or traffic lanes. While studies have shown how such upgrades improve traffic safety and mobility for city residents, the question remains </w:t>
      </w:r>
      <w:r>
        <w:t>how</w:t>
      </w:r>
      <w:r w:rsidRPr="00ED40D8">
        <w:t xml:space="preserve"> such infrastructure improvements</w:t>
      </w:r>
      <w:r>
        <w:t xml:space="preserve"> affect</w:t>
      </w:r>
      <w:r w:rsidRPr="00ED40D8">
        <w:t xml:space="preserve"> </w:t>
      </w:r>
      <w:r>
        <w:t>economic outcomes.</w:t>
      </w:r>
    </w:p>
    <w:p w14:paraId="7D919D01" w14:textId="3907E27B" w:rsidR="0068333D" w:rsidRDefault="00700D76" w:rsidP="0068333D">
      <w:r w:rsidRPr="00B96C51">
        <w:rPr>
          <w:noProof/>
          <w:lang w:eastAsia="zh-TW"/>
        </w:rPr>
        <w:drawing>
          <wp:inline distT="0" distB="0" distL="0" distR="0" wp14:anchorId="6038EAFD" wp14:editId="7A745574">
            <wp:extent cx="5943600" cy="4207510"/>
            <wp:effectExtent l="0" t="0" r="0" b="2540"/>
            <wp:docPr id="7" name="Picture 7" descr="G:\My Drive\NITC Street Improvements\CityMaps\indy_corridors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NITC Street Improvements\CityMaps\indy_corridors_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07510"/>
                    </a:xfrm>
                    <a:prstGeom prst="rect">
                      <a:avLst/>
                    </a:prstGeom>
                    <a:noFill/>
                    <a:ln>
                      <a:noFill/>
                    </a:ln>
                  </pic:spPr>
                </pic:pic>
              </a:graphicData>
            </a:graphic>
          </wp:inline>
        </w:drawing>
      </w:r>
    </w:p>
    <w:p w14:paraId="5641193C" w14:textId="77777777" w:rsidR="0068333D" w:rsidRDefault="0068333D" w:rsidP="0068333D">
      <w:pPr>
        <w:pStyle w:val="Caption"/>
      </w:pPr>
      <w:r>
        <w:t xml:space="preserve">Figure </w:t>
      </w:r>
      <w:fldSimple w:instr=" STYLEREF 1 \s ">
        <w:r>
          <w:rPr>
            <w:noProof/>
          </w:rPr>
          <w:t>1</w:t>
        </w:r>
      </w:fldSimple>
      <w:r>
        <w:noBreakHyphen/>
      </w:r>
      <w:fldSimple w:instr=" SEQ Figure \* ARABIC \s 1 ">
        <w:r>
          <w:rPr>
            <w:noProof/>
          </w:rPr>
          <w:t>1</w:t>
        </w:r>
      </w:fldSimple>
      <w:r>
        <w:t>. Indianapolis Corridors Map</w:t>
      </w:r>
    </w:p>
    <w:p w14:paraId="1A7205F7" w14:textId="77777777" w:rsidR="0068333D" w:rsidRDefault="0068333D" w:rsidP="0068333D">
      <w:pPr>
        <w:pStyle w:val="Caption"/>
      </w:pPr>
    </w:p>
    <w:p w14:paraId="235B8F2D" w14:textId="2D2C7835" w:rsidR="0068333D" w:rsidRPr="00ED40D8" w:rsidRDefault="0068333D" w:rsidP="0068333D">
      <w:r>
        <w:t xml:space="preserve">Active transportation advocates often assert that the improvement of active transportation infrastructure will largely increase the number of customers that can arrived via alternative modes in addition to automobiles, and, ultimately, lead to greater revenue and employment growth. While there is some suggestive evidence of this, ranging from self-supported surveys of business owners </w:t>
      </w:r>
      <w:r>
        <w:fldChar w:fldCharType="begin"/>
      </w:r>
      <w:r>
        <w:instrText xml:space="preserve"> ADDIN ZOTERO_ITEM CSL_CITATION {"citationID":"AW1vfrSk","properties":{"formattedCitation":"(Flusche 2012; Jaffe 2015; Stantec Consulting 2011)","plainCitation":"(Flusche 2012; Jaffe 2015; Stantec Consulting 2011)","noteIndex":0},"citationItems":[{"id":427,"uris":["http://zotero.org/users/2764639/items/GQWW8IR2"],"uri":["http://zotero.org/users/2764639/items/GQWW8IR2"],"itemData":{"id":427,"type":"report","title":"Bicycling Means Business: The Economic Benefits of Bicycle Infrastructure","publisher":"League of American Bicyclists","URL":"http://www.advocacyadvance.org/site_images/content/Final_Econ_Update(small).pdf","author":[{"family":"Flusche","given":"Darren"}],"issued":{"date-parts":[["2012"]]}}},{"id":316,"uris":["http://zotero.org/users/2764639/items/U4H63TJ5"],"uri":["http://zotero.org/users/2764639/items/U4H63TJ5"],"itemData":{"id":316,"type":"webpage","title":"The Complete Business Case for Converting Street Parking Into Bike Lanes","URL":"http://www.citylab.com/cityfixer/2015/03/the-complete-business-case-for-converting-street-parking-into-bike-lanes/387595/","author":[{"family":"Jaffe","given":"Eric"}],"issued":{"date-parts":[["2015"]]}}},{"id":377,"uris":["http://zotero.org/users/2764639/items/H62S9T9B"],"uri":["http://zotero.org/users/2764639/items/H62S9T9B"],"itemData":{"id":377,"type":"report","title":"Vancouver Separated Bicycle Lanes Business Impact Study","publisher":"Stantec Consulting Ltd.","URL":"http://www.peoplepoweredmovement.org/site/images/uploads/penv3-BusinessImpactStudyReportDowntownSeparatedBicycleLanes-StantecReport.pdf","author":[{"family":"Stantec Consulting","given":""}],"issued":{"date-parts":[["2011"]]}}}],"schema":"https://github.com/citation-style-language/schema/raw/master/csl-citation.json"} </w:instrText>
      </w:r>
      <w:r>
        <w:fldChar w:fldCharType="separate"/>
      </w:r>
      <w:r w:rsidRPr="00131F4E">
        <w:rPr>
          <w:rFonts w:ascii="Cambria" w:hAnsi="Cambria"/>
        </w:rPr>
        <w:t>(Flusche 2012; Jaffe 2015; Stantec Consulting 2011)</w:t>
      </w:r>
      <w:r>
        <w:fldChar w:fldCharType="end"/>
      </w:r>
      <w:r>
        <w:t xml:space="preserve">  to consumer behavior surveys </w:t>
      </w:r>
      <w:r>
        <w:fldChar w:fldCharType="begin"/>
      </w:r>
      <w:r>
        <w:instrText xml:space="preserve"> ADDIN ZOTERO_ITEM CSL_CITATION {"citationID":"UnA6IsZf","properties":{"formattedCitation":"(Clifton et al. 2012; Bent and Singa 2009)","plainCitation":"(Clifton et al. 2012; Bent and Singa 2009)","noteIndex":0},"citationItems":[{"id":341,"uris":["http://zotero.org/users/2764639/items/N4B6S9D2"],"uri":["http://zotero.org/users/2764639/items/N4B6S9D2"],"itemData":{"id":341,"type":"report","title":"Consumer Behavior and Travel Mode Choice","publisher":"Oregon Transportation Research and Education Consortium","URL":"http://kellyjclifton.com/Research/EconImpactsofBicycling/OTRECReport-ConsBehavTravelChoices_Nov2012.pdf","author":[{"family":"Clifton","given":"Kelly"},{"family":"Muhs","given":"Christopher"},{"family":"Morrissey","given":"Sara"},{"family":"Morrissey","given":"Tomás"},{"family":"Currans","given":"Kristina"},{"family":"Ritter","given":"Chloe"}],"issued":{"date-parts":[["2012"]]}}},{"id":268,"uris":["http://zotero.org/users/2764639/items/9MR4UWF4"],"uri":["http://zotero.org/users/2764639/items/9MR4UWF4"],"itemData":{"id":268,"type":"article-journal","title":"Modal Choices and Spending Patterns of Travelers to Downtown San Francisco, California: Impacts of Congestion Pricing on Retail Trade","container-title":"Transportation Research Record: Journal of the Transportation Research Board","page":"66-74","volume":"2115","source":"CrossRef","DOI":"10.3141/2115-09","ISSN":"0361-1981","shortTitle":"Modal Choices and Spending Patterns of Travelers to Downtown San Francisco, California","language":"en","author":[{"family":"Bent","given":"Elizabeth"},{"family":"Singa","given":"Krute"}],"issued":{"date-parts":[["2009",12]]}}}],"schema":"https://github.com/citation-style-language/schema/raw/master/csl-citation.json"} </w:instrText>
      </w:r>
      <w:r>
        <w:fldChar w:fldCharType="separate"/>
      </w:r>
      <w:r w:rsidRPr="00131F4E">
        <w:rPr>
          <w:rFonts w:ascii="Cambria" w:hAnsi="Cambria"/>
        </w:rPr>
        <w:t>(Clifton et al. 2012; Bent and Singa 2009)</w:t>
      </w:r>
      <w:r>
        <w:fldChar w:fldCharType="end"/>
      </w:r>
      <w:r>
        <w:t xml:space="preserve"> before and after </w:t>
      </w:r>
      <w:r>
        <w:lastRenderedPageBreak/>
        <w:t xml:space="preserve">the installation of active transportation projects. Recently, a few studies have approached this research question by comparing sales tax or employment trends over time for on the improved blocks </w:t>
      </w:r>
      <w:r>
        <w:fldChar w:fldCharType="begin"/>
      </w:r>
      <w:r>
        <w:instrText xml:space="preserve"> ADDIN ZOTERO_ITEM CSL_CITATION {"citationID":"Ea7Q5ecp","properties":{"formattedCitation":"(NYCDOT 2013; Rowe 2013; Poirier 2017)","plainCitation":"(NYCDOT 2013; Rowe 2013; Poirier 2017)","noteIndex":0},"citationItems":[{"id":372,"uris":["http://zotero.org/users/2764639/items/U25SSFG9"],"uri":["http://zotero.org/users/2764639/items/U25SSFG9"],"itemData":{"id":372,"type":"report","title":"The Economic Benefits of Sustainable Streets","publisher":"New York City Department of Transportation","URL":"http://www.nyc.gov/html/dot/downloads/pdf/dot-economic-benefits-of-sustainable-streets.pdf","author":[{"family":"NYCDOT","given":""}],"issued":{"date-parts":[["2013"]]}}},{"id":373,"uris":["http://zotero.org/users/2764639/items/M7JU4Z7B"],"uri":["http://zotero.org/users/2764639/items/M7JU4Z7B"],"itemData":{"id":373,"type":"article","title":"Measuring the Economic Impact of Bicycle Facilities on Neighborhood Business Districts","URL":"http://bikewalkkc.org/wp-content/uploads/2016/03/Bikenomics_v4.pdf","author":[{"family":"Rowe","given":"Kyle"}],"issued":{"date-parts":[["2013"]]}}},{"id":443,"uris":["http://zotero.org/users/2764639/items/87DMG3VD"],"uri":["http://zotero.org/users/2764639/items/87DMG3VD"],"itemData":{"id":443,"type":"thesis","title":"Are Bicycles Good for Business? A San Francisco Examination in Three Case Studies","publisher":"University of California, Berkeley","author":[{"family":"Poirier","given":"Joseph"}],"issued":{"date-parts":[["2017"]]}}}],"schema":"https://github.com/citation-style-language/schema/raw/master/csl-citation.json"} </w:instrText>
      </w:r>
      <w:r>
        <w:fldChar w:fldCharType="separate"/>
      </w:r>
      <w:r w:rsidRPr="001508F0">
        <w:rPr>
          <w:rFonts w:ascii="Cambria" w:hAnsi="Cambria"/>
        </w:rPr>
        <w:t>(NYCDOT 2013; Rowe 2013; Poirier 2017)</w:t>
      </w:r>
      <w:r>
        <w:fldChar w:fldCharType="end"/>
      </w:r>
      <w:r>
        <w:t>. However, while some researchers have started employing quasi-experimental methodologies</w:t>
      </w:r>
      <w:r w:rsidR="00942730">
        <w:t xml:space="preserve"> </w:t>
      </w:r>
      <w:r w:rsidR="00942730">
        <w:fldChar w:fldCharType="begin"/>
      </w:r>
      <w:r w:rsidR="00942730">
        <w:instrText xml:space="preserve"> ADDIN ZOTERO_ITEM CSL_CITATION {"citationID":"ZWBltCcM","properties":{"formattedCitation":"(Dill et al. 2014; Yu et al. 2018)","plainCitation":"(Dill et al. 2014; Yu et al. 2018)","noteIndex":0},"citationItems":[{"id":256,"uris":["http://zotero.org/users/2764639/items/NT65XG7J"],"uri":["http://zotero.org/users/2764639/items/NT65XG7J"],"itemData":{"id":256,"type":"article-journal","title":"Bicycle boulevards and changes in physical activity and active transportation: Findings from a natural experiment","container-title":"Preventive Medicine","page":"S74-S78","volume":"69","source":"CrossRef","URL":"http://linkinghub.elsevier.com/retrieve/pii/S0091743514003703","DOI":"10.1016/j.ypmed.2014.10.006","ISSN":"00917435","shortTitle":"Bicycle boulevards and changes in physical activity and active transportation","language":"en","author":[{"family":"Dill","given":"Jennifer"},{"family":"McNeil","given":"Nathan"},{"family":"Broach","given":"Joseph"},{"family":"Ma","given":"Liang"}],"issued":{"date-parts":[["2014",12]]},"accessed":{"date-parts":[["2016",4,22]]}}},{"id":1310,"uris":["http://zotero.org/users/2764639/items/X5N2IU26"],"uri":["http://zotero.org/users/2764639/items/X5N2IU26"],"itemData":{"id":1310,"type":"article-journal","title":"Assessing the economic benefits and resilience of complete streets in Orlando, FL: A natural experimental design approach","container-title":"Journal of Transport &amp; Health","page":"169-178","volume":"8","URL":"https://www.sciencedirect.com/science/article/pii/S2214140517306072","DOI":"https://doi.org/10.1016/j.jth.2017.11.005","author":[{"family":"Yu","given":"Chia-Yuan"},{"family":"Xu","given":"Mingjie"},{"family":"Towne","given":"Samuel D."},{"family":"Iman","given":"Sara"}],"issued":{"date-parts":[["2018"]]},"accessed":{"date-parts":[["2019",5,13]]}}}],"schema":"https://github.com/citation-style-language/schema/raw/master/csl-citation.json"} </w:instrText>
      </w:r>
      <w:r w:rsidR="00942730">
        <w:fldChar w:fldCharType="separate"/>
      </w:r>
      <w:r w:rsidR="00942730" w:rsidRPr="00942730">
        <w:rPr>
          <w:rFonts w:ascii="Cambria" w:hAnsi="Cambria"/>
        </w:rPr>
        <w:t>(Dill et al. 2014; Yu et al. 2018)</w:t>
      </w:r>
      <w:r w:rsidR="00942730">
        <w:fldChar w:fldCharType="end"/>
      </w:r>
      <w:r>
        <w:t>, the majority have been descriptive or exploratory in nature, or have been limited to case studies within specific urban areas. The validity concerns and lack of consistent data backing many of the previous studies have given the pause and reason to call for additional research and evidence to address the data and methodological concerns.</w:t>
      </w:r>
    </w:p>
    <w:p w14:paraId="0A907EE7" w14:textId="77777777" w:rsidR="0068333D" w:rsidRPr="00ED40D8" w:rsidRDefault="0068333D" w:rsidP="0068333D">
      <w:r w:rsidRPr="00ED40D8">
        <w:t>This study will attempt to answer to what extent these types of corridor-level street improvements impact economic activity and business vitality</w:t>
      </w:r>
      <w:r>
        <w:t xml:space="preserve"> in the immediate vicinity</w:t>
      </w:r>
      <w:r w:rsidRPr="00ED40D8">
        <w:t xml:space="preserve">. </w:t>
      </w:r>
      <w:r>
        <w:t>Utilizing systematic data sources and methodologies across multiple cities and corridors, we examine, i</w:t>
      </w:r>
      <w:r w:rsidRPr="00ED40D8">
        <w:t xml:space="preserve">n particular, how do street improvements impact retail sales and employment? </w:t>
      </w:r>
    </w:p>
    <w:p w14:paraId="64611751" w14:textId="79758463" w:rsidR="00F14DA5" w:rsidRDefault="00F14DA5" w:rsidP="00F14DA5">
      <w:pPr>
        <w:pStyle w:val="BodyText"/>
      </w:pPr>
      <w:r>
        <w:t xml:space="preserve">Indianapolis has conducted many street improvement projects in past years, </w:t>
      </w:r>
      <w:r w:rsidR="00700D76">
        <w:t>including new bike lanes and</w:t>
      </w:r>
      <w:r>
        <w:t xml:space="preserve"> road diets. Starting in 1999, Indianapolis began the planning process for the Indianapolis Cultural Trail, an 8-mile long pedestrian and bike trail connecting six historic district in the city. The trail included many street improvements </w:t>
      </w:r>
      <w:r w:rsidR="00E50B90">
        <w:t>such as</w:t>
      </w:r>
      <w:r>
        <w:t xml:space="preserve"> protected bike lanes, pedestrian improvements and public art installations. Indianapolis Cultural Trail, Inc., the non-profit </w:t>
      </w:r>
      <w:r w:rsidR="00E50B90">
        <w:t xml:space="preserve">organization </w:t>
      </w:r>
      <w:r>
        <w:t xml:space="preserve">managing the trail, completed construction in 2013. In addition to the trail, Indianapolis Cultural Trail, Inc. also runs Pacers Bikeshare. The construction of the trail and </w:t>
      </w:r>
      <w:proofErr w:type="spellStart"/>
      <w:r>
        <w:t>bikesharing</w:t>
      </w:r>
      <w:proofErr w:type="spellEnd"/>
      <w:r>
        <w:t xml:space="preserve"> </w:t>
      </w:r>
      <w:r w:rsidR="00E50B90">
        <w:t xml:space="preserve">infrastructure </w:t>
      </w:r>
      <w:r>
        <w:t xml:space="preserve">have dramatically changed the transportation choices in downtown Indianapolis. </w:t>
      </w:r>
      <w:r w:rsidR="00E50B90">
        <w:t>In particular, t</w:t>
      </w:r>
      <w:r>
        <w:t>his report explores two recent street improvement corridors - Massachusetts Avenue and Virginia Avenue - to understand the economic and business impact of these active transportation infrastructure investments.</w:t>
      </w:r>
    </w:p>
    <w:p w14:paraId="7BC86F7D" w14:textId="77777777" w:rsidR="00F14DA5" w:rsidRDefault="00F14DA5">
      <w:pPr>
        <w:rPr>
          <w:rFonts w:asciiTheme="majorHAnsi" w:eastAsiaTheme="majorEastAsia" w:hAnsiTheme="majorHAnsi" w:cstheme="majorBidi"/>
          <w:b/>
          <w:bCs/>
          <w:color w:val="345A8A" w:themeColor="accent1" w:themeShade="B5"/>
          <w:sz w:val="32"/>
          <w:szCs w:val="32"/>
        </w:rPr>
      </w:pPr>
      <w:bookmarkStart w:id="1" w:name="data-sourcesmethodology"/>
      <w:bookmarkEnd w:id="1"/>
      <w:r>
        <w:br w:type="page"/>
      </w:r>
    </w:p>
    <w:p w14:paraId="536A1248" w14:textId="77777777" w:rsidR="00A61086" w:rsidRDefault="00FF17C4">
      <w:pPr>
        <w:pStyle w:val="Heading1"/>
      </w:pPr>
      <w:r>
        <w:lastRenderedPageBreak/>
        <w:t>Data Sources/Methodology</w:t>
      </w:r>
    </w:p>
    <w:p w14:paraId="274C485F" w14:textId="77777777" w:rsidR="00A61086" w:rsidRDefault="00FF17C4">
      <w:pPr>
        <w:pStyle w:val="Heading2"/>
      </w:pPr>
      <w:bookmarkStart w:id="2" w:name="data-sources"/>
      <w:bookmarkEnd w:id="2"/>
      <w:r>
        <w:t>Data Sources</w:t>
      </w:r>
    </w:p>
    <w:p w14:paraId="348133C9" w14:textId="7D549E72" w:rsidR="00F41A69" w:rsidRPr="00F41A69" w:rsidRDefault="00FF17C4">
      <w:pPr>
        <w:pStyle w:val="FirstParagraph"/>
      </w:pPr>
      <w:r>
        <w:t xml:space="preserve">For this study we used multiple data sources to estimate the effect of new bike lane infrastructure investment. </w:t>
      </w:r>
      <w:r w:rsidR="00F41A69" w:rsidRPr="00F41A69">
        <w:t>Because this project makes use of a variety of different data sources, it required collaboration between the research team and representatives from multiple agencies/departments. Our principle contact was with I</w:t>
      </w:r>
      <w:r w:rsidR="008B22C2">
        <w:t>ndianapolis Cultural Trail, Inc. S</w:t>
      </w:r>
      <w:r w:rsidR="00F41A69" w:rsidRPr="00F41A69">
        <w:t>ales tax data was provided by Indianapolis Cultural Trail</w:t>
      </w:r>
      <w:r w:rsidR="008B22C2">
        <w:t>,</w:t>
      </w:r>
      <w:r w:rsidR="00F41A69" w:rsidRPr="00F41A69">
        <w:t xml:space="preserve"> Inc. and QCEW data was retrieved from </w:t>
      </w:r>
      <w:r w:rsidR="008B22C2">
        <w:t xml:space="preserve">the </w:t>
      </w:r>
      <w:r w:rsidR="00F41A69" w:rsidRPr="00F41A69">
        <w:t xml:space="preserve">State of Indiana and aggregated by </w:t>
      </w:r>
      <w:r w:rsidR="008B22C2">
        <w:t xml:space="preserve">the </w:t>
      </w:r>
      <w:r w:rsidR="00F41A69" w:rsidRPr="00F41A69">
        <w:t xml:space="preserve">Indiana Bureau of Research Center; and LEHD data was publicly available at </w:t>
      </w:r>
      <w:r w:rsidR="008B22C2">
        <w:t xml:space="preserve">the </w:t>
      </w:r>
      <w:r w:rsidR="00F41A69" w:rsidRPr="00F41A69">
        <w:t xml:space="preserve">United State Census Bureau. </w:t>
      </w:r>
    </w:p>
    <w:p w14:paraId="0162C559" w14:textId="77777777" w:rsidR="00043626" w:rsidRDefault="00043626" w:rsidP="00043626">
      <w:pPr>
        <w:pStyle w:val="FirstParagraph"/>
      </w:pPr>
      <w:r>
        <w:t xml:space="preserve">First, we used the Longitudinal Origin-Destination Employment Statistics (LODES) data set from the </w:t>
      </w:r>
      <w:r>
        <w:rPr>
          <w:b/>
        </w:rPr>
        <w:t>Longitudinal Employer-Household Dynamics Dataset</w:t>
      </w:r>
      <w:r>
        <w:t xml:space="preserve"> (LEHD). It integrates existing data from state-supplied administrative records on workers and employers with existing census, surveys, and other administrative records to create a longitudinal data system on U.S employment. This data set tracks Workplace Area Characteristics (WAC), census blocks where people work as opposed to where workers live, for all the census blocks between 2002 and 2015 for most of the states in the US. As such, LEHD provides geographically granular detail about American’s jobs, workers and local economies, allowing us to examine employment by broad industry sector, wage and educational attainment. Some disadvantages of the LODES data set are that in order to guarantee confidentiality block level data is “fuzzed” so the numbers are not exactly the number of jobs, but they are accurate estimates. Additionally, though we get industrial data, it is only provided at the most general level (the equivalent of two digit NAICS codes) so we are unable to isolate specific retail or service employment such as restaurant workers. That being said, the LEHD data set is comprehensive, offers unprecedented geographic detail, and longitudinal allowing for consistent comparisons over time.</w:t>
      </w:r>
    </w:p>
    <w:p w14:paraId="04B4A0F5" w14:textId="18BD8A36" w:rsidR="00A61086" w:rsidRDefault="00FF17C4">
      <w:pPr>
        <w:pStyle w:val="BodyText"/>
      </w:pPr>
      <w:r>
        <w:t xml:space="preserve">This report also takes advantage of establishment level </w:t>
      </w:r>
      <w:r>
        <w:rPr>
          <w:b/>
        </w:rPr>
        <w:t>Quarterly Census of Employment and Wages</w:t>
      </w:r>
      <w:r>
        <w:t xml:space="preserve"> (QCEW) data. Also referred to as ES-202 data, the QCEW is quarterly data submitted by firms to their respective state governments as part of the unemployment insurance system. Employers report their industry code, their number of employees at the site, and gross pay. The individual </w:t>
      </w:r>
      <w:r w:rsidR="008A0466">
        <w:t xml:space="preserve">establishment-level </w:t>
      </w:r>
      <w:r>
        <w:t xml:space="preserve">QCEW data is confidential and requires special permission from the state in order to use it and has additional data use restrictions. The QCEW gives us address level data on individual establishments as well as detailed employment information. Unfortunately, getting access to such data </w:t>
      </w:r>
      <w:r w:rsidR="0068333D">
        <w:t>can be</w:t>
      </w:r>
      <w:r>
        <w:t xml:space="preserve"> difficult and differs for each state and has to be presented in a way to preserve confidentiality. As such, we cannot present ultra-detailed industrial information and have further presentation restrictions depending on the state.</w:t>
      </w:r>
    </w:p>
    <w:p w14:paraId="208F96C5" w14:textId="7A0E9C00" w:rsidR="00F41A69" w:rsidRDefault="0068333D">
      <w:pPr>
        <w:pStyle w:val="BodyText"/>
      </w:pPr>
      <w:r>
        <w:t>Due to data suppression for confidentiality by the state</w:t>
      </w:r>
      <w:r w:rsidR="00F41A69" w:rsidRPr="00573F7E">
        <w:t xml:space="preserve">, we </w:t>
      </w:r>
      <w:r w:rsidR="00F41A69">
        <w:t>were only able to obtain corridor-</w:t>
      </w:r>
      <w:r w:rsidR="00F41A69" w:rsidRPr="00573F7E">
        <w:t>level food and drinking place employment data aggregated by</w:t>
      </w:r>
      <w:r w:rsidR="00F41A69">
        <w:t xml:space="preserve"> the</w:t>
      </w:r>
      <w:r w:rsidR="00F41A69" w:rsidRPr="00573F7E">
        <w:t xml:space="preserve"> Indiana Business Research Center</w:t>
      </w:r>
      <w:r w:rsidR="00F41A69">
        <w:t xml:space="preserve">, but not for </w:t>
      </w:r>
      <w:r w:rsidR="00043626">
        <w:t xml:space="preserve">the </w:t>
      </w:r>
      <w:r w:rsidR="00F41A69">
        <w:t>retail</w:t>
      </w:r>
      <w:r w:rsidR="00043626">
        <w:t xml:space="preserve"> industry</w:t>
      </w:r>
      <w:r w:rsidR="00F41A69" w:rsidRPr="00573F7E">
        <w:t xml:space="preserve">. These aggregated numbers correspond closely to the LEHD </w:t>
      </w:r>
      <w:r w:rsidR="00F41A69">
        <w:t xml:space="preserve">data </w:t>
      </w:r>
      <w:r w:rsidR="00F41A69" w:rsidRPr="00573F7E">
        <w:t xml:space="preserve">used </w:t>
      </w:r>
      <w:r w:rsidR="00F41A69">
        <w:t xml:space="preserve">elsewhere </w:t>
      </w:r>
      <w:r w:rsidR="00F41A69" w:rsidRPr="00573F7E">
        <w:t xml:space="preserve">in the report, but with the advantage that the numbers are not “fuzzed” for confidentiality concerns. </w:t>
      </w:r>
    </w:p>
    <w:p w14:paraId="28320620" w14:textId="77777777" w:rsidR="00224854" w:rsidRDefault="00F41A69" w:rsidP="00F41A69">
      <w:pPr>
        <w:pStyle w:val="BodyText"/>
      </w:pPr>
      <w:bookmarkStart w:id="3" w:name="methodology"/>
      <w:bookmarkEnd w:id="3"/>
      <w:r w:rsidRPr="00573F7E">
        <w:rPr>
          <w:b/>
        </w:rPr>
        <w:lastRenderedPageBreak/>
        <w:t xml:space="preserve">Sales tax data </w:t>
      </w:r>
      <w:r w:rsidR="00224854">
        <w:t>was</w:t>
      </w:r>
      <w:r w:rsidRPr="00573F7E">
        <w:t xml:space="preserve"> collected as the primary data source to allow us to estimate a more sensitive measure of economic activity than employment (as the decision to hire or fire employees for a firm is often an expensive one, and thus we would expect employment to be a delayed response to changes in economic activities). Some drawbacks of sales tax data are that some states do not have a sales tax or, in states or cities that do have one, the sales tax data is not broken down by specific industry and it is difficult to parse out accurate figures. But the benefits of sales tax data largely outweigh these issues and do offer a more sensitive metric than employment. </w:t>
      </w:r>
    </w:p>
    <w:p w14:paraId="3F97CD25" w14:textId="3A77FD02" w:rsidR="00F41A69" w:rsidRPr="00573F7E" w:rsidRDefault="008A0466" w:rsidP="00F41A69">
      <w:pPr>
        <w:pStyle w:val="BodyText"/>
      </w:pPr>
      <w:r w:rsidRPr="00573F7E">
        <w:t>Indiana has a general 7% sales tax for all businesses</w:t>
      </w:r>
      <w:r>
        <w:t>,</w:t>
      </w:r>
      <w:r w:rsidRPr="00573F7E">
        <w:t xml:space="preserve"> with additional taxes</w:t>
      </w:r>
      <w:r>
        <w:t xml:space="preserve"> based on the type of good or service</w:t>
      </w:r>
      <w:r w:rsidRPr="00573F7E">
        <w:t xml:space="preserve"> and the city/county </w:t>
      </w:r>
      <w:r>
        <w:t xml:space="preserve">where </w:t>
      </w:r>
      <w:r w:rsidRPr="00573F7E">
        <w:t>a</w:t>
      </w:r>
      <w:r>
        <w:t xml:space="preserve">n </w:t>
      </w:r>
      <w:r w:rsidRPr="00573F7E">
        <w:t xml:space="preserve">establishment is located. For example, Marion County, the home county of Indianapolis, has an additional 2% food and beverage tax as well as a 10% accommodations tax. </w:t>
      </w:r>
      <w:r>
        <w:t xml:space="preserve">These produce a sales tax range of </w:t>
      </w:r>
      <w:r w:rsidRPr="00573F7E">
        <w:t>7-19% in the city.</w:t>
      </w:r>
      <w:r w:rsidR="00F41A69" w:rsidRPr="00573F7E">
        <w:t xml:space="preserve"> However, unprepared grocery food and health care items are exempted from tax collection, which may hamper the ability of sales tax data to accurately reflect all retail business vitality.</w:t>
      </w:r>
    </w:p>
    <w:p w14:paraId="3DA5EC84" w14:textId="77777777" w:rsidR="00A61086" w:rsidRDefault="00FF17C4">
      <w:pPr>
        <w:pStyle w:val="Heading2"/>
      </w:pPr>
      <w:r>
        <w:t>Methodology</w:t>
      </w:r>
    </w:p>
    <w:p w14:paraId="216F6942" w14:textId="77777777" w:rsidR="00A61086" w:rsidRPr="00F41A69" w:rsidRDefault="00FF17C4">
      <w:pPr>
        <w:pStyle w:val="FirstParagraph"/>
        <w:rPr>
          <w:sz w:val="22"/>
          <w:szCs w:val="22"/>
        </w:rPr>
      </w:pPr>
      <w:r>
        <w:t>We applied three methods in order to isolate the impact of street improvements</w:t>
      </w:r>
      <w:r w:rsidR="0068333D">
        <w:t xml:space="preserve"> on business vitality</w:t>
      </w:r>
      <w:r>
        <w:t xml:space="preserve"> while controlling for other economic and regional factors. The methods </w:t>
      </w:r>
      <w:r w:rsidR="0068333D">
        <w:t>include</w:t>
      </w:r>
      <w:r>
        <w:t xml:space="preserve"> an </w:t>
      </w:r>
      <w:r w:rsidR="0068333D">
        <w:t>aggregated</w:t>
      </w:r>
      <w:r>
        <w:t xml:space="preserve"> trend analysis (</w:t>
      </w:r>
      <w:r w:rsidR="0068333D">
        <w:t xml:space="preserve">following the NYCDOT study </w:t>
      </w:r>
      <w:r w:rsidR="0068333D">
        <w:fldChar w:fldCharType="begin"/>
      </w:r>
      <w:r w:rsidR="0068333D">
        <w:instrText xml:space="preserve"> ADDIN ZOTERO_ITEM CSL_CITATION {"citationID":"KNpZ39Sg","properties":{"formattedCitation":"(2013)","plainCitation":"(2013)","noteIndex":0},"citationItems":[{"id":372,"uris":["http://zotero.org/users/2764639/items/U25SSFG9"],"uri":["http://zotero.org/users/2764639/items/U25SSFG9"],"itemData":{"id":372,"type":"report","title":"The Economic Benefits of Sustainable Streets","publisher":"New York City Department of Transportation","URL":"http://www.nyc.gov/html/dot/downloads/pdf/dot-economic-benefits-of-sustainable-streets.pdf","author":[{"family":"NYCDOT","given":""}],"issued":{"date-parts":[["2013"]]}},"suppress-author":true}],"schema":"https://github.com/citation-style-language/schema/raw/master/csl-citation.json"} </w:instrText>
      </w:r>
      <w:r w:rsidR="0068333D">
        <w:fldChar w:fldCharType="separate"/>
      </w:r>
      <w:r w:rsidR="0068333D" w:rsidRPr="001508F0">
        <w:rPr>
          <w:rFonts w:ascii="Cambria" w:hAnsi="Cambria"/>
        </w:rPr>
        <w:t>(2013)</w:t>
      </w:r>
      <w:r w:rsidR="0068333D">
        <w:fldChar w:fldCharType="end"/>
      </w:r>
      <w:r>
        <w:t>), a difference-in-difference approach, and an interrupted time series analysis.</w:t>
      </w:r>
      <w:r w:rsidR="00F41A69" w:rsidRPr="00F41A69">
        <w:rPr>
          <w:sz w:val="22"/>
          <w:szCs w:val="22"/>
        </w:rPr>
        <w:t xml:space="preserve"> </w:t>
      </w:r>
      <w:r w:rsidR="00F41A69" w:rsidRPr="005D7D44">
        <w:rPr>
          <w:sz w:val="22"/>
          <w:szCs w:val="22"/>
        </w:rPr>
        <w:t>The time frame used in the analysis for LEHD data is 2004-2015, 200</w:t>
      </w:r>
      <w:r w:rsidR="00F41A69">
        <w:rPr>
          <w:sz w:val="22"/>
          <w:szCs w:val="22"/>
        </w:rPr>
        <w:t>8</w:t>
      </w:r>
      <w:r w:rsidR="00F41A69" w:rsidRPr="005D7D44">
        <w:rPr>
          <w:sz w:val="22"/>
          <w:szCs w:val="22"/>
        </w:rPr>
        <w:t>-2016 for sales data, and 20</w:t>
      </w:r>
      <w:r w:rsidR="00F41A69">
        <w:rPr>
          <w:sz w:val="22"/>
          <w:szCs w:val="22"/>
        </w:rPr>
        <w:t>04-2016</w:t>
      </w:r>
      <w:r w:rsidR="00F41A69" w:rsidRPr="005D7D44">
        <w:rPr>
          <w:sz w:val="22"/>
          <w:szCs w:val="22"/>
        </w:rPr>
        <w:t xml:space="preserve"> for QCEW data.</w:t>
      </w:r>
    </w:p>
    <w:p w14:paraId="4A25D2A1" w14:textId="77777777" w:rsidR="00A61086" w:rsidRDefault="00FF17C4" w:rsidP="0068333D">
      <w:pPr>
        <w:pStyle w:val="Heading3"/>
      </w:pPr>
      <w:bookmarkStart w:id="4" w:name="corridor-comparison-selection"/>
      <w:bookmarkEnd w:id="4"/>
      <w:r>
        <w:t>Corridor Selection</w:t>
      </w:r>
      <w:r w:rsidR="0068333D" w:rsidRPr="0068333D">
        <w:t xml:space="preserve"> </w:t>
      </w:r>
      <w:r w:rsidR="0068333D">
        <w:t>&amp; Comparison</w:t>
      </w:r>
    </w:p>
    <w:p w14:paraId="280E5989" w14:textId="37D7F1ED" w:rsidR="00F14DA5" w:rsidRPr="007A760D" w:rsidRDefault="00F14DA5" w:rsidP="00F14DA5">
      <w:pPr>
        <w:pStyle w:val="FirstParagraph"/>
      </w:pPr>
      <w:r w:rsidRPr="007A760D">
        <w:t xml:space="preserve">In order to properly isolate the effect of the street improvements we must identify treatment corridors (corridors </w:t>
      </w:r>
      <w:r w:rsidR="0068333D">
        <w:t>where the street improvement occurred</w:t>
      </w:r>
      <w:r w:rsidRPr="007A760D">
        <w:t xml:space="preserve">) and control corridors (corridors that are similar to the treatment corridors except they remain unimproved). Treatment corridors are corridors where new bike or pedestrian related improvements were installed, ideally made up of a minimum of </w:t>
      </w:r>
      <w:r w:rsidR="008A0466">
        <w:t>ten</w:t>
      </w:r>
      <w:r w:rsidRPr="007A760D">
        <w:t xml:space="preserve"> adjacent, or intersecting, census blocks with a minimal number of retail and food service jobs. Additionally, we chose street improvement corridors installed between 2008 and 2013 in order to guarantee we have sufficient data (at least </w:t>
      </w:r>
      <w:r w:rsidR="008A0466">
        <w:t>three</w:t>
      </w:r>
      <w:r w:rsidRPr="007A760D">
        <w:t xml:space="preserve"> data points pre- and post-treatment) to track pre- and post-treatment economic trends.</w:t>
      </w:r>
    </w:p>
    <w:p w14:paraId="18F3E1FE" w14:textId="77777777" w:rsidR="00224854" w:rsidRDefault="00F14DA5" w:rsidP="00F14DA5">
      <w:pPr>
        <w:pStyle w:val="FirstParagraph"/>
      </w:pPr>
      <w:bookmarkStart w:id="5" w:name="aggregated-trend-comparison"/>
      <w:bookmarkEnd w:id="5"/>
      <w:r w:rsidRPr="007A760D">
        <w:t xml:space="preserve">Once corridors are selected based on these criteria, further testing is conducted to discern the level of similarity between treatment and control corridors. </w:t>
      </w:r>
      <w:r>
        <w:t xml:space="preserve">We compare similarity in two broad aspects: </w:t>
      </w:r>
      <w:r w:rsidR="0068333D">
        <w:t xml:space="preserve">transportation/geography and </w:t>
      </w:r>
      <w:r>
        <w:t xml:space="preserve">business activity </w:t>
      </w:r>
      <w:r w:rsidR="0068333D">
        <w:t>levels</w:t>
      </w:r>
      <w:r>
        <w:t>.</w:t>
      </w:r>
      <w:r w:rsidR="0068333D">
        <w:t xml:space="preserve"> In terms of transportation/geography characteristics, the corridors</w:t>
      </w:r>
      <w:r>
        <w:t xml:space="preserve"> </w:t>
      </w:r>
      <w:r w:rsidR="0068333D">
        <w:t>should ideally be geographically close to each other, with similar street classification, travel volumes and relative location/role within the city’s road network.</w:t>
      </w:r>
      <w:r>
        <w:t xml:space="preserve"> </w:t>
      </w:r>
    </w:p>
    <w:p w14:paraId="498D9797" w14:textId="45639910" w:rsidR="00F14DA5" w:rsidRDefault="0068333D" w:rsidP="00F14DA5">
      <w:pPr>
        <w:pStyle w:val="FirstParagraph"/>
      </w:pPr>
      <w:r>
        <w:t>The level of</w:t>
      </w:r>
      <w:r w:rsidR="00F14DA5">
        <w:t xml:space="preserve"> business activity</w:t>
      </w:r>
      <w:r>
        <w:t xml:space="preserve"> in </w:t>
      </w:r>
      <w:r w:rsidR="00F14DA5">
        <w:t>both retail and food service</w:t>
      </w:r>
      <w:r>
        <w:t>s industries</w:t>
      </w:r>
      <w:r w:rsidR="00F14DA5">
        <w:t xml:space="preserve"> should be similar </w:t>
      </w:r>
      <w:r>
        <w:t>on</w:t>
      </w:r>
      <w:r w:rsidR="00F14DA5">
        <w:t xml:space="preserve"> treatment and control corridors, </w:t>
      </w:r>
      <w:r>
        <w:t>and the general patterns of</w:t>
      </w:r>
      <w:r w:rsidR="00F14DA5">
        <w:t xml:space="preserve"> growth trend </w:t>
      </w:r>
      <w:r>
        <w:t>prior to the</w:t>
      </w:r>
      <w:r w:rsidR="00F14DA5">
        <w:t xml:space="preserve"> street improvement</w:t>
      </w:r>
      <w:r>
        <w:t xml:space="preserve"> should be similar as well</w:t>
      </w:r>
      <w:r w:rsidR="00F14DA5">
        <w:t>.</w:t>
      </w:r>
      <w:r>
        <w:t xml:space="preserve"> Furthermore, the ratio of business jobs </w:t>
      </w:r>
      <w:r>
        <w:lastRenderedPageBreak/>
        <w:t>(defined as the sum of retail and food service industry jobs) to overall number of service jobs on the treatment and control corridors should be at similar levels.</w:t>
      </w:r>
      <w:r w:rsidR="00F14DA5">
        <w:t xml:space="preserve"> </w:t>
      </w:r>
      <w:r w:rsidR="00F14DA5" w:rsidRPr="007A760D">
        <w:t>The</w:t>
      </w:r>
      <w:r>
        <w:t>se similarity</w:t>
      </w:r>
      <w:r w:rsidR="00F14DA5" w:rsidRPr="007A760D">
        <w:t xml:space="preserve"> tests include quintile comparisons and statistical tests of </w:t>
      </w:r>
      <w:r>
        <w:t xml:space="preserve">the corridor employment to citywide employment ratios and </w:t>
      </w:r>
      <w:r w:rsidR="00F14DA5" w:rsidRPr="007A760D">
        <w:t xml:space="preserve">average block level employment </w:t>
      </w:r>
      <w:r>
        <w:t>on the street improvement corridor and the proposed corresponding control corridors</w:t>
      </w:r>
      <w:r w:rsidRPr="007A760D">
        <w:t>.</w:t>
      </w:r>
    </w:p>
    <w:p w14:paraId="57FD45E2" w14:textId="000E42CA" w:rsidR="0068333D" w:rsidRPr="00345AAA" w:rsidRDefault="0068333D" w:rsidP="0068333D">
      <w:pPr>
        <w:pStyle w:val="FirstParagraph"/>
      </w:pPr>
      <w:r>
        <w:t xml:space="preserve">Specifically, t-tests are performed on three metrics at the census block level: (a) “business” employment, </w:t>
      </w:r>
      <w:r w:rsidR="00A245AB">
        <w:t>the sum of retail and food employment</w:t>
      </w:r>
      <w:r>
        <w:t>; (b) a census block level “business share” metric that is the number of business employment over the sum of other services industry employment such as professional/scientific services, public administration and educational services; alternatively, another business share metric is calculated that includes a smaller share of services employment (including professional/scientific services, administrative/waste management services and arts/accommodation services)</w:t>
      </w:r>
      <w:r w:rsidR="00942730">
        <w:t>.</w:t>
      </w:r>
      <w:r w:rsidR="00942730" w:rsidRPr="00942730">
        <w:t xml:space="preserve"> </w:t>
      </w:r>
      <w:r w:rsidR="00942730">
        <w:t xml:space="preserve">As long as one of the business metrics indicates similarity between </w:t>
      </w:r>
      <w:r w:rsidR="00A245AB">
        <w:t xml:space="preserve">the </w:t>
      </w:r>
      <w:r w:rsidR="00942730">
        <w:t xml:space="preserve">treatment and control corridors, we </w:t>
      </w:r>
      <w:r w:rsidR="00A245AB">
        <w:t xml:space="preserve">accept the corridor pair as similar enough for this analysis; and </w:t>
      </w:r>
      <w:r>
        <w:t>(c) a pre-construction annual employment growth rate.</w:t>
      </w:r>
    </w:p>
    <w:p w14:paraId="2A6EDAA0" w14:textId="77777777" w:rsidR="0068333D" w:rsidRPr="000233C7" w:rsidRDefault="0068333D" w:rsidP="0068333D">
      <w:pPr>
        <w:pStyle w:val="Caption"/>
      </w:pPr>
      <w:r>
        <w:t xml:space="preserve">Table </w:t>
      </w:r>
      <w:fldSimple w:instr=" STYLEREF 1 \s ">
        <w:r>
          <w:rPr>
            <w:noProof/>
          </w:rPr>
          <w:t>2</w:t>
        </w:r>
      </w:fldSimple>
      <w:r>
        <w:noBreakHyphen/>
      </w:r>
      <w:fldSimple w:instr=" SEQ Table \* ARABIC \s 1 ">
        <w:r>
          <w:rPr>
            <w:noProof/>
          </w:rPr>
          <w:t>1</w:t>
        </w:r>
      </w:fldSimple>
      <w:r>
        <w:t>. Corridor comparison indicators and methods</w:t>
      </w:r>
    </w:p>
    <w:tbl>
      <w:tblPr>
        <w:tblStyle w:val="TableGrid"/>
        <w:tblW w:w="0" w:type="auto"/>
        <w:tblLayout w:type="fixed"/>
        <w:tblLook w:val="04A0" w:firstRow="1" w:lastRow="0" w:firstColumn="1" w:lastColumn="0" w:noHBand="0" w:noVBand="1"/>
      </w:tblPr>
      <w:tblGrid>
        <w:gridCol w:w="2065"/>
        <w:gridCol w:w="4840"/>
        <w:gridCol w:w="2407"/>
      </w:tblGrid>
      <w:tr w:rsidR="0068333D" w14:paraId="2288BD68" w14:textId="77777777" w:rsidTr="00AD0899">
        <w:trPr>
          <w:trHeight w:val="378"/>
        </w:trPr>
        <w:tc>
          <w:tcPr>
            <w:tcW w:w="2065" w:type="dxa"/>
            <w:vAlign w:val="center"/>
          </w:tcPr>
          <w:p w14:paraId="79C5F8B3" w14:textId="77777777" w:rsidR="0068333D" w:rsidRPr="009F1417" w:rsidRDefault="0068333D" w:rsidP="00AD0899">
            <w:pPr>
              <w:pStyle w:val="BodyText"/>
              <w:spacing w:before="0" w:after="0"/>
              <w:rPr>
                <w:b/>
              </w:rPr>
            </w:pPr>
            <w:r w:rsidRPr="009F1417">
              <w:rPr>
                <w:b/>
              </w:rPr>
              <w:t>Comparison</w:t>
            </w:r>
            <w:r>
              <w:rPr>
                <w:b/>
              </w:rPr>
              <w:t xml:space="preserve"> Category</w:t>
            </w:r>
          </w:p>
        </w:tc>
        <w:tc>
          <w:tcPr>
            <w:tcW w:w="4840" w:type="dxa"/>
            <w:vAlign w:val="center"/>
          </w:tcPr>
          <w:p w14:paraId="3AE2DD4B" w14:textId="77777777" w:rsidR="0068333D" w:rsidRPr="009F1417" w:rsidRDefault="0068333D" w:rsidP="00AD0899">
            <w:pPr>
              <w:pStyle w:val="BodyText"/>
              <w:spacing w:before="0" w:after="0"/>
              <w:rPr>
                <w:b/>
              </w:rPr>
            </w:pPr>
            <w:r w:rsidRPr="009F1417">
              <w:rPr>
                <w:b/>
              </w:rPr>
              <w:t>Indicators</w:t>
            </w:r>
          </w:p>
        </w:tc>
        <w:tc>
          <w:tcPr>
            <w:tcW w:w="2407" w:type="dxa"/>
            <w:vAlign w:val="center"/>
          </w:tcPr>
          <w:p w14:paraId="2C50603D" w14:textId="77777777" w:rsidR="0068333D" w:rsidRPr="009F1417" w:rsidRDefault="0068333D" w:rsidP="00AD0899">
            <w:pPr>
              <w:pStyle w:val="BodyText"/>
              <w:spacing w:before="0" w:after="0"/>
              <w:rPr>
                <w:b/>
              </w:rPr>
            </w:pPr>
            <w:r w:rsidRPr="009F1417">
              <w:rPr>
                <w:b/>
              </w:rPr>
              <w:t>Method</w:t>
            </w:r>
          </w:p>
        </w:tc>
      </w:tr>
      <w:tr w:rsidR="0068333D" w14:paraId="601B56ED" w14:textId="77777777" w:rsidTr="00AD0899">
        <w:trPr>
          <w:trHeight w:val="378"/>
        </w:trPr>
        <w:tc>
          <w:tcPr>
            <w:tcW w:w="2065" w:type="dxa"/>
            <w:vMerge w:val="restart"/>
            <w:vAlign w:val="center"/>
          </w:tcPr>
          <w:p w14:paraId="72D70FED" w14:textId="77777777" w:rsidR="0068333D" w:rsidRDefault="0068333D" w:rsidP="00AD0899">
            <w:pPr>
              <w:pStyle w:val="BodyText"/>
              <w:spacing w:before="0" w:after="0"/>
            </w:pPr>
            <w:r>
              <w:t>Transportation/</w:t>
            </w:r>
            <w:r>
              <w:br/>
              <w:t>Geography</w:t>
            </w:r>
          </w:p>
        </w:tc>
        <w:tc>
          <w:tcPr>
            <w:tcW w:w="4840" w:type="dxa"/>
            <w:vAlign w:val="center"/>
          </w:tcPr>
          <w:p w14:paraId="3F8AEC70" w14:textId="77777777" w:rsidR="0068333D" w:rsidRDefault="0068333D" w:rsidP="00AD0899">
            <w:pPr>
              <w:pStyle w:val="BodyText"/>
              <w:spacing w:before="0" w:after="0"/>
            </w:pPr>
            <w:r>
              <w:t>Geography proximity</w:t>
            </w:r>
          </w:p>
        </w:tc>
        <w:tc>
          <w:tcPr>
            <w:tcW w:w="2407" w:type="dxa"/>
            <w:vMerge w:val="restart"/>
            <w:vAlign w:val="center"/>
          </w:tcPr>
          <w:p w14:paraId="4F9D498C" w14:textId="77777777" w:rsidR="0068333D" w:rsidRDefault="0068333D" w:rsidP="00AD0899">
            <w:pPr>
              <w:pStyle w:val="BodyText"/>
              <w:spacing w:before="0" w:after="0"/>
            </w:pPr>
            <w:r>
              <w:t>Researcher judgement</w:t>
            </w:r>
          </w:p>
        </w:tc>
      </w:tr>
      <w:tr w:rsidR="0068333D" w14:paraId="7A606E41" w14:textId="77777777" w:rsidTr="00AD0899">
        <w:trPr>
          <w:trHeight w:val="392"/>
        </w:trPr>
        <w:tc>
          <w:tcPr>
            <w:tcW w:w="2065" w:type="dxa"/>
            <w:vMerge/>
            <w:vAlign w:val="center"/>
          </w:tcPr>
          <w:p w14:paraId="13E29E7D" w14:textId="77777777" w:rsidR="0068333D" w:rsidRDefault="0068333D" w:rsidP="00AD0899">
            <w:pPr>
              <w:pStyle w:val="BodyText"/>
              <w:spacing w:before="0" w:after="0"/>
            </w:pPr>
          </w:p>
        </w:tc>
        <w:tc>
          <w:tcPr>
            <w:tcW w:w="4840" w:type="dxa"/>
            <w:vAlign w:val="center"/>
          </w:tcPr>
          <w:p w14:paraId="77E6D376" w14:textId="77777777" w:rsidR="0068333D" w:rsidRDefault="0068333D" w:rsidP="00AD0899">
            <w:pPr>
              <w:pStyle w:val="BodyText"/>
              <w:spacing w:before="0" w:after="0"/>
            </w:pPr>
            <w:r>
              <w:t>Street classification (travel volume)</w:t>
            </w:r>
          </w:p>
        </w:tc>
        <w:tc>
          <w:tcPr>
            <w:tcW w:w="2407" w:type="dxa"/>
            <w:vMerge/>
            <w:vAlign w:val="center"/>
          </w:tcPr>
          <w:p w14:paraId="6D4B3C97" w14:textId="77777777" w:rsidR="0068333D" w:rsidRDefault="0068333D" w:rsidP="00AD0899">
            <w:pPr>
              <w:pStyle w:val="BodyText"/>
              <w:spacing w:before="0" w:after="0"/>
            </w:pPr>
          </w:p>
        </w:tc>
      </w:tr>
      <w:tr w:rsidR="0068333D" w14:paraId="41EE90F1" w14:textId="77777777" w:rsidTr="00AD0899">
        <w:trPr>
          <w:trHeight w:val="405"/>
        </w:trPr>
        <w:tc>
          <w:tcPr>
            <w:tcW w:w="2065" w:type="dxa"/>
            <w:vMerge/>
            <w:vAlign w:val="center"/>
          </w:tcPr>
          <w:p w14:paraId="6072A820" w14:textId="77777777" w:rsidR="0068333D" w:rsidRDefault="0068333D" w:rsidP="00AD0899">
            <w:pPr>
              <w:pStyle w:val="BodyText"/>
              <w:spacing w:before="0" w:after="0"/>
            </w:pPr>
          </w:p>
        </w:tc>
        <w:tc>
          <w:tcPr>
            <w:tcW w:w="4840" w:type="dxa"/>
            <w:vAlign w:val="center"/>
          </w:tcPr>
          <w:p w14:paraId="29A8BED9" w14:textId="77777777" w:rsidR="0068333D" w:rsidRDefault="0068333D" w:rsidP="00AD0899">
            <w:pPr>
              <w:pStyle w:val="BodyText"/>
              <w:spacing w:before="0" w:after="0"/>
            </w:pPr>
            <w:r>
              <w:t>Role in road network</w:t>
            </w:r>
          </w:p>
        </w:tc>
        <w:tc>
          <w:tcPr>
            <w:tcW w:w="2407" w:type="dxa"/>
            <w:vMerge/>
            <w:vAlign w:val="center"/>
          </w:tcPr>
          <w:p w14:paraId="49AE61E6" w14:textId="77777777" w:rsidR="0068333D" w:rsidRDefault="0068333D" w:rsidP="00AD0899">
            <w:pPr>
              <w:pStyle w:val="BodyText"/>
              <w:spacing w:before="0" w:after="0"/>
            </w:pPr>
          </w:p>
        </w:tc>
      </w:tr>
      <w:tr w:rsidR="0068333D" w14:paraId="47E0AC92" w14:textId="77777777" w:rsidTr="00AD0899">
        <w:trPr>
          <w:trHeight w:val="389"/>
        </w:trPr>
        <w:tc>
          <w:tcPr>
            <w:tcW w:w="2065" w:type="dxa"/>
            <w:vMerge w:val="restart"/>
            <w:vAlign w:val="center"/>
          </w:tcPr>
          <w:p w14:paraId="783B45F7" w14:textId="77777777" w:rsidR="0068333D" w:rsidRDefault="0068333D" w:rsidP="00AD0899">
            <w:pPr>
              <w:pStyle w:val="BodyText"/>
              <w:spacing w:before="0" w:after="0"/>
            </w:pPr>
            <w:r>
              <w:t>Business activity</w:t>
            </w:r>
          </w:p>
        </w:tc>
        <w:tc>
          <w:tcPr>
            <w:tcW w:w="4840" w:type="dxa"/>
            <w:vAlign w:val="center"/>
          </w:tcPr>
          <w:p w14:paraId="14F7FB76" w14:textId="77777777" w:rsidR="0068333D" w:rsidRDefault="0068333D" w:rsidP="00AD0899">
            <w:pPr>
              <w:pStyle w:val="BodyText"/>
              <w:spacing w:before="0" w:after="0"/>
            </w:pPr>
            <w:r>
              <w:t>Job percentile brackets to regional average</w:t>
            </w:r>
          </w:p>
        </w:tc>
        <w:tc>
          <w:tcPr>
            <w:tcW w:w="2407" w:type="dxa"/>
            <w:vMerge w:val="restart"/>
            <w:vAlign w:val="center"/>
          </w:tcPr>
          <w:p w14:paraId="0876928C" w14:textId="77777777" w:rsidR="0068333D" w:rsidRDefault="0068333D" w:rsidP="00AD0899">
            <w:pPr>
              <w:pStyle w:val="BodyText"/>
              <w:spacing w:before="0" w:after="0"/>
            </w:pPr>
            <w:r>
              <w:t xml:space="preserve">Statistical test </w:t>
            </w:r>
            <w:r>
              <w:br/>
              <w:t>(t-test)</w:t>
            </w:r>
          </w:p>
        </w:tc>
      </w:tr>
      <w:tr w:rsidR="0068333D" w14:paraId="6E1151F9" w14:textId="77777777" w:rsidTr="00AD0899">
        <w:trPr>
          <w:trHeight w:val="389"/>
        </w:trPr>
        <w:tc>
          <w:tcPr>
            <w:tcW w:w="2065" w:type="dxa"/>
            <w:vMerge/>
            <w:vAlign w:val="center"/>
          </w:tcPr>
          <w:p w14:paraId="11494139" w14:textId="77777777" w:rsidR="0068333D" w:rsidRDefault="0068333D" w:rsidP="00AD0899">
            <w:pPr>
              <w:pStyle w:val="BodyText"/>
              <w:spacing w:before="0" w:after="0"/>
              <w:jc w:val="center"/>
            </w:pPr>
          </w:p>
        </w:tc>
        <w:tc>
          <w:tcPr>
            <w:tcW w:w="4840" w:type="dxa"/>
            <w:vAlign w:val="center"/>
          </w:tcPr>
          <w:p w14:paraId="4257D590" w14:textId="77777777" w:rsidR="0068333D" w:rsidRDefault="0068333D" w:rsidP="00AD0899">
            <w:pPr>
              <w:pStyle w:val="BodyText"/>
              <w:spacing w:before="0" w:after="0"/>
            </w:pPr>
            <w:r>
              <w:t>Business jobs share compared to overall jobs</w:t>
            </w:r>
          </w:p>
        </w:tc>
        <w:tc>
          <w:tcPr>
            <w:tcW w:w="2407" w:type="dxa"/>
            <w:vMerge/>
            <w:vAlign w:val="center"/>
          </w:tcPr>
          <w:p w14:paraId="3EA8D572" w14:textId="77777777" w:rsidR="0068333D" w:rsidRDefault="0068333D" w:rsidP="00AD0899">
            <w:pPr>
              <w:pStyle w:val="BodyText"/>
              <w:spacing w:before="0" w:after="0"/>
              <w:jc w:val="center"/>
            </w:pPr>
          </w:p>
        </w:tc>
      </w:tr>
      <w:tr w:rsidR="0068333D" w14:paraId="3B1ABE24" w14:textId="77777777" w:rsidTr="00AD0899">
        <w:trPr>
          <w:trHeight w:val="389"/>
        </w:trPr>
        <w:tc>
          <w:tcPr>
            <w:tcW w:w="2065" w:type="dxa"/>
            <w:vMerge/>
            <w:vAlign w:val="center"/>
          </w:tcPr>
          <w:p w14:paraId="2982BC50" w14:textId="77777777" w:rsidR="0068333D" w:rsidRDefault="0068333D" w:rsidP="00AD0899">
            <w:pPr>
              <w:pStyle w:val="BodyText"/>
              <w:spacing w:before="0" w:after="0"/>
              <w:jc w:val="center"/>
            </w:pPr>
          </w:p>
        </w:tc>
        <w:tc>
          <w:tcPr>
            <w:tcW w:w="4840" w:type="dxa"/>
            <w:vAlign w:val="center"/>
          </w:tcPr>
          <w:p w14:paraId="177F1079" w14:textId="77777777" w:rsidR="0068333D" w:rsidRDefault="0068333D" w:rsidP="00AD0899">
            <w:pPr>
              <w:pStyle w:val="BodyText"/>
              <w:spacing w:before="0" w:after="0"/>
            </w:pPr>
            <w:r>
              <w:t>Pre-construction employment growth rate</w:t>
            </w:r>
          </w:p>
        </w:tc>
        <w:tc>
          <w:tcPr>
            <w:tcW w:w="2407" w:type="dxa"/>
            <w:vMerge/>
            <w:vAlign w:val="center"/>
          </w:tcPr>
          <w:p w14:paraId="00A7A968" w14:textId="77777777" w:rsidR="0068333D" w:rsidRDefault="0068333D" w:rsidP="00AD0899">
            <w:pPr>
              <w:pStyle w:val="BodyText"/>
              <w:spacing w:before="0" w:after="0"/>
              <w:jc w:val="center"/>
            </w:pPr>
          </w:p>
        </w:tc>
      </w:tr>
    </w:tbl>
    <w:p w14:paraId="0BFD503C" w14:textId="77777777" w:rsidR="0068333D" w:rsidRPr="000233C7" w:rsidRDefault="0068333D" w:rsidP="0068333D">
      <w:pPr>
        <w:pStyle w:val="BodyText"/>
      </w:pPr>
    </w:p>
    <w:p w14:paraId="0FFBD4FB" w14:textId="77777777" w:rsidR="00A61086" w:rsidRDefault="00FF17C4">
      <w:pPr>
        <w:pStyle w:val="Heading3"/>
      </w:pPr>
      <w:r>
        <w:t>Aggregated Trend Comparison</w:t>
      </w:r>
    </w:p>
    <w:p w14:paraId="280DEB7B" w14:textId="77777777" w:rsidR="00F11283" w:rsidRDefault="00F11283" w:rsidP="00F11283">
      <w:pPr>
        <w:pStyle w:val="FirstParagraph"/>
      </w:pPr>
      <w:bookmarkStart w:id="6" w:name="difference-in-difference"/>
      <w:bookmarkEnd w:id="6"/>
      <w:r>
        <w:t xml:space="preserve">This first method follows the previous NYCDOT study </w:t>
      </w:r>
      <w:r>
        <w:fldChar w:fldCharType="begin"/>
      </w:r>
      <w:r>
        <w:instrText xml:space="preserve"> ADDIN ZOTERO_ITEM CSL_CITATION {"citationID":"5fuXfuPu","properties":{"formattedCitation":"(NYCDOT 2013)","plainCitation":"(NYCDOT 2013)","noteIndex":0},"citationItems":[{"id":372,"uris":["http://zotero.org/users/2764639/items/U25SSFG9"],"uri":["http://zotero.org/users/2764639/items/U25SSFG9"],"itemData":{"id":372,"type":"report","title":"The Economic Benefits of Sustainable Streets","publisher":"New York City Department of Transportation","URL":"http://www.nyc.gov/html/dot/downloads/pdf/dot-economic-benefits-of-sustainable-streets.pdf","author":[{"family":"NYCDOT","given":""}],"issued":{"date-parts":[["2013"]]}}}],"schema":"https://github.com/citation-style-language/schema/raw/master/csl-citation.json"} </w:instrText>
      </w:r>
      <w:r>
        <w:fldChar w:fldCharType="separate"/>
      </w:r>
      <w:r w:rsidRPr="00F62CD4">
        <w:rPr>
          <w:rFonts w:ascii="Cambria" w:hAnsi="Cambria"/>
        </w:rPr>
        <w:t>(NYCDOT 2013)</w:t>
      </w:r>
      <w:r>
        <w:fldChar w:fldCharType="end"/>
      </w:r>
      <w:r>
        <w:t>, aiming to examine whether the treatment corridors tend to have better business performance than comparison corridors after street improvements. The approach compares the trends of treatment and control corridors in addition to city-wide trends over the full time period for which we have data. If treatment corridors show greater growth rates in employment or sales tax receipts, or a jump in the level of employment or sales, then that would represent a positive impact of the street improvement on business activities. This method is easy to follow and represents the aggregated trend of business activities. However, it lacks the rigor of econometric estimates and statistical tests that explicitly test whether or not the street improvement caused the changes.</w:t>
      </w:r>
    </w:p>
    <w:p w14:paraId="3998F431" w14:textId="77777777" w:rsidR="00F11283" w:rsidRDefault="00F11283" w:rsidP="00F11283">
      <w:pPr>
        <w:pStyle w:val="BodyText"/>
      </w:pPr>
      <w:r>
        <w:t xml:space="preserve">We present both absolute and indexed values for all variables. Indexed values are useful when you need to compare values on different scales. For some corridors the differences in </w:t>
      </w:r>
      <w:r>
        <w:lastRenderedPageBreak/>
        <w:t>employment or sales tax is large and it is not possible to accurately compare those to smaller corridors without indexing. This is especially important for something like sales tax where some corridors have large amounts of taxable sales due to being on a major travel corridor or having a large anchor retailer like a department store.</w:t>
      </w:r>
    </w:p>
    <w:p w14:paraId="4D2F174B" w14:textId="77777777" w:rsidR="00A61086" w:rsidRDefault="00FF17C4">
      <w:pPr>
        <w:pStyle w:val="Heading3"/>
      </w:pPr>
      <w:r>
        <w:t>Difference-in-Difference</w:t>
      </w:r>
      <w:r w:rsidR="0068333D">
        <w:t xml:space="preserve"> (DID)</w:t>
      </w:r>
    </w:p>
    <w:p w14:paraId="0FCBC7F8" w14:textId="77777777" w:rsidR="00F11283" w:rsidRDefault="00F11283" w:rsidP="00F11283">
      <w:pPr>
        <w:pStyle w:val="FirstParagraph"/>
      </w:pPr>
      <w:bookmarkStart w:id="7" w:name="interrupted-time-series"/>
      <w:bookmarkEnd w:id="7"/>
      <w:r>
        <w:t xml:space="preserve">The second method aims to estimate the difference in business vitality of pre- and post-improvement periods between treatment and control corridors within the same time period. This is known as a difference-in-difference (DID) approach </w:t>
      </w:r>
      <w:r>
        <w:fldChar w:fldCharType="begin"/>
      </w:r>
      <w:r>
        <w:instrText xml:space="preserve"> ADDIN ZOTERO_ITEM CSL_CITATION {"citationID":"rMmUKabL","properties":{"formattedCitation":"(Angrist and Pischke 2009)","plainCitation":"(Angrist and Pischke 2009)","noteIndex":0},"citationItems":[{"id":438,"uris":["http://zotero.org/users/2764639/items/KYXQV6UN"],"uri":["http://zotero.org/users/2764639/items/KYXQV6UN"],"itemData":{"id":438,"type":"book","title":"Mostly Harmless Econometrics: An Empiricist's Comparison","publisher":"Princeton University Press","author":[{"family":"Angrist","given":"Joshua"},{"family":"Pischke","given":"Jorn-Steffen"}],"issued":{"date-parts":[["2009"]]}}}],"schema":"https://github.com/citation-style-language/schema/raw/master/csl-citation.json"} </w:instrText>
      </w:r>
      <w:r>
        <w:fldChar w:fldCharType="separate"/>
      </w:r>
      <w:r w:rsidRPr="00F62CD4">
        <w:rPr>
          <w:rFonts w:ascii="Cambria" w:hAnsi="Cambria"/>
        </w:rPr>
        <w:t>(Angrist and Pischke 2009)</w:t>
      </w:r>
      <w:r>
        <w:fldChar w:fldCharType="end"/>
      </w:r>
      <w:r>
        <w:t>. It is a designed to answer the “but for” question of what a corridor’s economic trajectory would look like, had the streets not been improved. It requires data from pre/post intervention such as panel data (individual level data overtime) or cross-sectional data (individual or group level). The approach looks at the change in the variable of interest in the treatment corridor before and after it is treated. In this case this means looking at some time period before and after a street improvement, and comparing the economic indicators to the control corridor which has not received the street improvement. The difference in growth trajectories between the two periods will give an unbiased estimate of the effect of the treatment. DID is a useful quasi-experimental technique when true randomized experiments are not possible. This approach removes biases in the second period comparisons between the treatment and control corridors that could be the result of inherent differences between these corridors, as well as biases from comparisons over time in the treatment corridor that could be the result of prior trends. A key assumption of DID estimate is that the differences between control group and treatment group would have remained constant in the absence of treatment.</w:t>
      </w:r>
    </w:p>
    <w:p w14:paraId="10000735" w14:textId="77777777" w:rsidR="00F14DA5" w:rsidRDefault="00F14DA5" w:rsidP="00F14DA5">
      <w:pPr>
        <w:pStyle w:val="Caption"/>
        <w:jc w:val="center"/>
      </w:pPr>
      <w:r w:rsidRPr="00130DD3">
        <w:rPr>
          <w:noProof/>
          <w:lang w:eastAsia="zh-TW"/>
        </w:rPr>
        <w:drawing>
          <wp:inline distT="0" distB="0" distL="0" distR="0" wp14:anchorId="2A93E312" wp14:editId="067AF020">
            <wp:extent cx="2686050" cy="1952625"/>
            <wp:effectExtent l="114300" t="114300" r="152400" b="142875"/>
            <wp:docPr id="4" name="Picture 9" descr="https://lh3.googleusercontent.com/dKqe23H7D42p3PhhwvfaJ57bm6yklhQy2SJT30Je6EOkpXchEzFU6CkTL0qSsGLv5y25M__GmQ5mUuYM1VSCFmuA-hesiV6pn7h07B0Wakymq5kS0kupI_jNZgtjm2KnofYrR7w-"/>
            <wp:cNvGraphicFramePr/>
            <a:graphic xmlns:a="http://schemas.openxmlformats.org/drawingml/2006/main">
              <a:graphicData uri="http://schemas.openxmlformats.org/drawingml/2006/picture">
                <pic:pic xmlns:pic="http://schemas.openxmlformats.org/drawingml/2006/picture">
                  <pic:nvPicPr>
                    <pic:cNvPr id="10" name="Picture 9" descr="https://lh3.googleusercontent.com/dKqe23H7D42p3PhhwvfaJ57bm6yklhQy2SJT30Je6EOkpXchEzFU6CkTL0qSsGLv5y25M__GmQ5mUuYM1VSCFmuA-hesiV6pn7h07B0Wakymq5kS0kupI_jNZgtjm2KnofYrR7w-"/>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564" cy="19529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2130B4" w14:textId="77777777" w:rsidR="00F14DA5" w:rsidRDefault="00F14DA5" w:rsidP="00F14DA5">
      <w:pPr>
        <w:pStyle w:val="Caption"/>
      </w:pPr>
      <w:r>
        <w:t xml:space="preserve">Figure </w:t>
      </w:r>
      <w:fldSimple w:instr=" STYLEREF 1 \s ">
        <w:r>
          <w:rPr>
            <w:noProof/>
          </w:rPr>
          <w:t>2</w:t>
        </w:r>
      </w:fldSimple>
      <w:r>
        <w:noBreakHyphen/>
      </w:r>
      <w:fldSimple w:instr=" SEQ Figure \* ARABIC \s 1 ">
        <w:r>
          <w:rPr>
            <w:noProof/>
          </w:rPr>
          <w:t>1</w:t>
        </w:r>
      </w:fldSimple>
      <w:r>
        <w:t>. Illustration of DID method</w:t>
      </w:r>
    </w:p>
    <w:p w14:paraId="505648EC" w14:textId="77777777" w:rsidR="00F14DA5" w:rsidRDefault="00F14DA5" w:rsidP="00F14DA5">
      <w:pPr>
        <w:pStyle w:val="BodyText"/>
      </w:pPr>
      <w:r>
        <w:t>DID is a linear modeling approach and its basic formula is expressed as:</w:t>
      </w:r>
    </w:p>
    <w:p w14:paraId="1938765B" w14:textId="77777777" w:rsidR="00F14DA5" w:rsidRDefault="00FC2B9A" w:rsidP="00F14DA5">
      <w:pPr>
        <w:pStyle w:val="BodyText"/>
      </w:pPr>
      <m:oMathPara>
        <m:oMathParaPr>
          <m:jc m:val="center"/>
        </m:oMathParaPr>
        <m:oMath>
          <m:sSub>
            <m:sSubPr>
              <m:ctrlPr>
                <w:rPr>
                  <w:rFonts w:ascii="Cambria Math" w:hAnsi="Cambria Math"/>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sSub>
            <m:sSubPr>
              <m:ctrlPr>
                <w:rPr>
                  <w:rFonts w:ascii="Cambria Math" w:hAnsi="Cambria Math"/>
                </w:rPr>
              </m:ctrlPr>
            </m:sSubPr>
            <m:e>
              <m:r>
                <w:rPr>
                  <w:rFonts w:ascii="Cambria Math" w:hAnsi="Cambria Math"/>
                </w:rPr>
                <m:t>T</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sSub>
            <m:sSubPr>
              <m:ctrlPr>
                <w:rPr>
                  <w:rFonts w:ascii="Cambria Math" w:hAnsi="Cambria Math"/>
                </w:rPr>
              </m:ctrlPr>
            </m:sSubPr>
            <m:e>
              <m:r>
                <w:rPr>
                  <w:rFonts w:ascii="Cambria Math" w:hAnsi="Cambria Math"/>
                </w:rPr>
                <m:t>A</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3</m:t>
              </m:r>
            </m:sub>
          </m:sSub>
          <m:sSub>
            <m:sSubPr>
              <m:ctrlPr>
                <w:rPr>
                  <w:rFonts w:ascii="Cambria Math" w:hAnsi="Cambria Math"/>
                </w:rPr>
              </m:ctrlPr>
            </m:sSubPr>
            <m:e>
              <m:r>
                <w:rPr>
                  <w:rFonts w:ascii="Cambria Math" w:hAnsi="Cambria Math"/>
                </w:rPr>
                <m:t>T</m:t>
              </m:r>
            </m:e>
            <m:sub>
              <m:r>
                <w:rPr>
                  <w:rFonts w:ascii="Cambria Math" w:hAnsi="Cambria Math"/>
                </w:rPr>
                <m:t>it</m:t>
              </m:r>
            </m:sub>
          </m:sSub>
          <m:sSub>
            <m:sSubPr>
              <m:ctrlPr>
                <w:rPr>
                  <w:rFonts w:ascii="Cambria Math" w:hAnsi="Cambria Math"/>
                </w:rPr>
              </m:ctrlPr>
            </m:sSubPr>
            <m:e>
              <m:r>
                <w:rPr>
                  <w:rFonts w:ascii="Cambria Math" w:hAnsi="Cambria Math"/>
                </w:rPr>
                <m:t>A</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it</m:t>
              </m:r>
            </m:sub>
          </m:sSub>
        </m:oMath>
      </m:oMathPara>
    </w:p>
    <w:p w14:paraId="6155CCD8" w14:textId="77777777" w:rsidR="00F11283" w:rsidRDefault="00FC2B9A" w:rsidP="00F11283">
      <w:pPr>
        <w:pStyle w:val="FirstParagraph"/>
      </w:pPr>
      <m:oMath>
        <m:sSub>
          <m:sSubPr>
            <m:ctrlPr>
              <w:rPr>
                <w:rFonts w:ascii="Cambria Math" w:hAnsi="Cambria Math"/>
              </w:rPr>
            </m:ctrlPr>
          </m:sSubPr>
          <m:e>
            <m:r>
              <w:rPr>
                <w:rFonts w:ascii="Cambria Math" w:hAnsi="Cambria Math"/>
              </w:rPr>
              <m:t>Y</m:t>
            </m:r>
          </m:e>
          <m:sub>
            <m:r>
              <w:rPr>
                <w:rFonts w:ascii="Cambria Math" w:hAnsi="Cambria Math"/>
              </w:rPr>
              <m:t>it</m:t>
            </m:r>
          </m:sub>
        </m:sSub>
      </m:oMath>
      <w:r w:rsidR="00F11283">
        <w:t xml:space="preserve"> is the observed outcome in corridors i and t (in this case change in employment or sales tax revenue); </w:t>
      </w:r>
      <m:oMath>
        <m:sSub>
          <m:sSubPr>
            <m:ctrlPr>
              <w:rPr>
                <w:rFonts w:ascii="Cambria Math" w:hAnsi="Cambria Math"/>
              </w:rPr>
            </m:ctrlPr>
          </m:sSubPr>
          <m:e>
            <m:r>
              <w:rPr>
                <w:rFonts w:ascii="Cambria Math" w:hAnsi="Cambria Math"/>
              </w:rPr>
              <m:t>T</m:t>
            </m:r>
          </m:e>
          <m:sub>
            <m:r>
              <w:rPr>
                <w:rFonts w:ascii="Cambria Math" w:hAnsi="Cambria Math"/>
              </w:rPr>
              <m:t>it</m:t>
            </m:r>
          </m:sub>
        </m:sSub>
      </m:oMath>
      <w:r w:rsidR="00F11283">
        <w:t xml:space="preserve"> is a dummy variable set to 1 if the observation is from the treatment corridor, or 0 if the observation is from the control corridor; </w:t>
      </w:r>
      <m:oMath>
        <m:sSub>
          <m:sSubPr>
            <m:ctrlPr>
              <w:rPr>
                <w:rFonts w:ascii="Cambria Math" w:hAnsi="Cambria Math"/>
              </w:rPr>
            </m:ctrlPr>
          </m:sSubPr>
          <m:e>
            <m:r>
              <w:rPr>
                <w:rFonts w:ascii="Cambria Math" w:hAnsi="Cambria Math"/>
              </w:rPr>
              <m:t>A</m:t>
            </m:r>
          </m:e>
          <m:sub>
            <m:r>
              <w:rPr>
                <w:rFonts w:ascii="Cambria Math" w:hAnsi="Cambria Math"/>
              </w:rPr>
              <m:t>it</m:t>
            </m:r>
          </m:sub>
        </m:sSub>
      </m:oMath>
      <w:r w:rsidR="00F11283">
        <w:t xml:space="preserve"> is a dummy variable set to </w:t>
      </w:r>
      <w:r w:rsidR="00F11283">
        <w:lastRenderedPageBreak/>
        <w:t xml:space="preserve">1 if the observation is from the post-treatment period; </w:t>
      </w:r>
      <m:oMath>
        <m:sSub>
          <m:sSubPr>
            <m:ctrlPr>
              <w:rPr>
                <w:rFonts w:ascii="Cambria Math" w:hAnsi="Cambria Math"/>
              </w:rPr>
            </m:ctrlPr>
          </m:sSubPr>
          <m:e>
            <m:r>
              <w:rPr>
                <w:rFonts w:ascii="Cambria Math" w:hAnsi="Cambria Math"/>
              </w:rPr>
              <m:t>β</m:t>
            </m:r>
          </m:e>
          <m:sub>
            <m:r>
              <w:rPr>
                <w:rFonts w:ascii="Cambria Math" w:hAnsi="Cambria Math"/>
              </w:rPr>
              <m:t>3</m:t>
            </m:r>
          </m:sub>
        </m:sSub>
      </m:oMath>
      <w:r w:rsidR="00F11283">
        <w:t xml:space="preserve"> is the DID estimator of the treatment effect, specified as the </w:t>
      </w:r>
      <w:proofErr w:type="spellStart"/>
      <w:r w:rsidR="00F11283" w:rsidRPr="001A5781">
        <w:rPr>
          <w:b/>
          <w:i/>
        </w:rPr>
        <w:t>prepost:corridor_name</w:t>
      </w:r>
      <w:proofErr w:type="spellEnd"/>
      <w:r w:rsidR="00F11283">
        <w:t xml:space="preserve"> coefficient in our analysis. Typically, the DID estimator of interest is </w:t>
      </w:r>
      <m:oMath>
        <m:sSub>
          <m:sSubPr>
            <m:ctrlPr>
              <w:rPr>
                <w:rFonts w:ascii="Cambria Math" w:hAnsi="Cambria Math"/>
              </w:rPr>
            </m:ctrlPr>
          </m:sSubPr>
          <m:e>
            <m:r>
              <w:rPr>
                <w:rFonts w:ascii="Cambria Math" w:hAnsi="Cambria Math"/>
              </w:rPr>
              <m:t>β</m:t>
            </m:r>
          </m:e>
          <m:sub>
            <m:r>
              <w:rPr>
                <w:rFonts w:ascii="Cambria Math" w:hAnsi="Cambria Math"/>
              </w:rPr>
              <m:t>3</m:t>
            </m:r>
          </m:sub>
        </m:sSub>
      </m:oMath>
      <w:r w:rsidR="00F11283">
        <w:t>, and if it is estimated to be statistically significant and positive, then this suggests a positive causal effect of the street improvement on the economic indicator in question. Conversely, if the estimate is significant and negative, then that indicates a negative effect of the improvement. Finally, a non-significant result indicates the improvement had no statistically discernible effect.</w:t>
      </w:r>
    </w:p>
    <w:p w14:paraId="73BA2F1C" w14:textId="77777777" w:rsidR="00F14DA5" w:rsidRDefault="00F14DA5" w:rsidP="00F14DA5">
      <w:pPr>
        <w:pStyle w:val="Heading3"/>
      </w:pPr>
      <w:r>
        <w:t>Interrupted Time Series</w:t>
      </w:r>
      <w:r w:rsidR="0068333D">
        <w:t xml:space="preserve"> (ITS)</w:t>
      </w:r>
    </w:p>
    <w:p w14:paraId="215F2297" w14:textId="77777777" w:rsidR="00F11283" w:rsidRDefault="00F11283" w:rsidP="00F11283">
      <w:pPr>
        <w:pStyle w:val="FirstParagraph"/>
      </w:pPr>
      <w:r>
        <w:t xml:space="preserve">Interrupted time series (ITS) is an econometric technique that estimates how street improvements impact corridor economic vitality from a longitudinal perspective. This approach tracks the treatment corridor over time and estimates the impact from the street improvement by identifying changes in its growth trend after the treatment </w:t>
      </w:r>
      <w:r>
        <w:fldChar w:fldCharType="begin"/>
      </w:r>
      <w:r>
        <w:instrText xml:space="preserve"> ADDIN ZOTERO_ITEM CSL_CITATION {"citationID":"8Csg8qNX","properties":{"formattedCitation":"(Lopez Bernal, Cummins, and Gasparrini 2016)","plainCitation":"(Lopez Bernal, Cummins, and Gasparrini 2016)","noteIndex":0},"citationItems":[{"id":369,"uris":["http://zotero.org/users/2764639/items/UKE93VQQ"],"uri":["http://zotero.org/users/2764639/items/UKE93VQQ"],"itemData":{"id":369,"type":"article-journal","title":"Interrupted time series regression for the evaluation of public health interventions: a tutorial","container-title":"International Journal of Epidemiology","page":"dyw098","source":"CrossRef","DOI":"10.1093/ije/dyw098","ISSN":"0300-5771, 1464-3685","shortTitle":"Interrupted time series regression for the evaluation of public health interventions","language":"en","author":[{"family":"Lopez Bernal","given":"James"},{"family":"Cummins","given":"Steven"},{"family":"Gasparrini","given":"Antonio"}],"issued":{"date-parts":[["2016",6,9]]}}}],"schema":"https://github.com/citation-style-language/schema/raw/master/csl-citation.json"} </w:instrText>
      </w:r>
      <w:r>
        <w:fldChar w:fldCharType="separate"/>
      </w:r>
      <w:r>
        <w:rPr>
          <w:rFonts w:ascii="Cambria" w:hAnsi="Cambria"/>
        </w:rPr>
        <w:t xml:space="preserve">(Lopez Bernal et al., </w:t>
      </w:r>
      <w:r w:rsidRPr="00F62CD4">
        <w:rPr>
          <w:rFonts w:ascii="Cambria" w:hAnsi="Cambria"/>
        </w:rPr>
        <w:t>2016)</w:t>
      </w:r>
      <w:r>
        <w:fldChar w:fldCharType="end"/>
      </w:r>
      <w:r>
        <w:t>. If the treatment has a causal impact, the post-intervention economic indicators will have a different level or slope than the pre-intervention data points. In our research, interrupted-time series will be used to distinguish differences in economic level or growth before and after a specific time period when a street improvement is constructed, such as a new buffered or protected bike lane.</w:t>
      </w:r>
    </w:p>
    <w:p w14:paraId="59BEC795" w14:textId="77777777" w:rsidR="00F11283" w:rsidRDefault="00F11283" w:rsidP="00F11283">
      <w:pPr>
        <w:pStyle w:val="BodyText"/>
      </w:pPr>
      <w:r>
        <w:t>One advantage of ITS is that it allows for the statistical investigation of potential biases in the estimate of the effect of the intervention. Given the longitudinal nature of the test, ITS requires a significantly larger amount of data in order to accurately estimate a real effect on the growth trend.</w:t>
      </w:r>
    </w:p>
    <w:p w14:paraId="6401DC6D" w14:textId="77777777" w:rsidR="00F14DA5" w:rsidRDefault="00F14DA5" w:rsidP="00F14DA5">
      <w:pPr>
        <w:pStyle w:val="BodyText"/>
      </w:pPr>
      <w:r>
        <w:t>The interrupted time-series analysis equation can be expressed as:</w:t>
      </w:r>
    </w:p>
    <w:p w14:paraId="367223FB" w14:textId="77777777" w:rsidR="00F14DA5" w:rsidRDefault="00FC2B9A" w:rsidP="00F14DA5">
      <w:pPr>
        <w:pStyle w:val="BodyText"/>
      </w:pPr>
      <m:oMathPara>
        <m:oMathParaPr>
          <m:jc m:val="center"/>
        </m:oMathParaPr>
        <m:oMath>
          <m:sSub>
            <m:sSubPr>
              <m:ctrlPr>
                <w:rPr>
                  <w:rFonts w:ascii="Cambria Math" w:hAnsi="Cambria Math"/>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sSub>
            <m:sSubPr>
              <m:ctrlPr>
                <w:rPr>
                  <w:rFonts w:ascii="Cambria Math" w:hAnsi="Cambria Math"/>
                </w:rPr>
              </m:ctrlPr>
            </m:sSubPr>
            <m:e>
              <m:r>
                <w:rPr>
                  <w:rFonts w:ascii="Cambria Math" w:hAnsi="Cambria Math"/>
                </w:rPr>
                <m:t>T</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3</m:t>
              </m:r>
            </m:sub>
          </m:sSub>
          <m:sSub>
            <m:sSubPr>
              <m:ctrlPr>
                <w:rPr>
                  <w:rFonts w:ascii="Cambria Math" w:hAnsi="Cambria Math"/>
                </w:rPr>
              </m:ctrlPr>
            </m:sSubPr>
            <m:e>
              <m:r>
                <w:rPr>
                  <w:rFonts w:ascii="Cambria Math" w:hAnsi="Cambria Math"/>
                </w:rPr>
                <m:t>T</m:t>
              </m:r>
            </m:e>
            <m:sub>
              <m:r>
                <w:rPr>
                  <w:rFonts w:ascii="Cambria Math" w:hAnsi="Cambria Math"/>
                </w:rPr>
                <m:t>t</m:t>
              </m:r>
            </m:sub>
          </m:sSub>
          <m:sSub>
            <m:sSubPr>
              <m:ctrlPr>
                <w:rPr>
                  <w:rFonts w:ascii="Cambria Math" w:hAnsi="Cambria Math"/>
                </w:rPr>
              </m:ctrlPr>
            </m:sSubPr>
            <m:e>
              <m:r>
                <w:rPr>
                  <w:rFonts w:ascii="Cambria Math" w:hAnsi="Cambria Math"/>
                </w:rPr>
                <m:t>X</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it</m:t>
              </m:r>
            </m:sub>
          </m:sSub>
        </m:oMath>
      </m:oMathPara>
    </w:p>
    <w:p w14:paraId="2D60969B" w14:textId="77777777" w:rsidR="00F11283" w:rsidRDefault="00FC2B9A" w:rsidP="00F11283">
      <w:pPr>
        <w:pStyle w:val="FirstParagraph"/>
      </w:pPr>
      <m:oMath>
        <m:sSub>
          <m:sSubPr>
            <m:ctrlPr>
              <w:rPr>
                <w:rFonts w:ascii="Cambria Math" w:hAnsi="Cambria Math"/>
              </w:rPr>
            </m:ctrlPr>
          </m:sSubPr>
          <m:e>
            <m:r>
              <w:rPr>
                <w:rFonts w:ascii="Cambria Math" w:hAnsi="Cambria Math"/>
              </w:rPr>
              <m:t>Y</m:t>
            </m:r>
          </m:e>
          <m:sub>
            <m:r>
              <w:rPr>
                <w:rFonts w:ascii="Cambria Math" w:hAnsi="Cambria Math"/>
              </w:rPr>
              <m:t>t</m:t>
            </m:r>
          </m:sub>
        </m:sSub>
      </m:oMath>
      <w:r w:rsidR="00F11283">
        <w:t xml:space="preserve"> is the observed business outcome in time period t; </w:t>
      </w:r>
      <m:oMath>
        <m:sSub>
          <m:sSubPr>
            <m:ctrlPr>
              <w:rPr>
                <w:rFonts w:ascii="Cambria Math" w:hAnsi="Cambria Math"/>
              </w:rPr>
            </m:ctrlPr>
          </m:sSubPr>
          <m:e>
            <m:r>
              <w:rPr>
                <w:rFonts w:ascii="Cambria Math" w:hAnsi="Cambria Math"/>
              </w:rPr>
              <m:t>T</m:t>
            </m:r>
          </m:e>
          <m:sub>
            <m:r>
              <w:rPr>
                <w:rFonts w:ascii="Cambria Math" w:hAnsi="Cambria Math"/>
              </w:rPr>
              <m:t>t</m:t>
            </m:r>
          </m:sub>
        </m:sSub>
      </m:oMath>
      <w:r w:rsidR="00F11283">
        <w:t xml:space="preserve"> indicates the number of quarters from start to finish of the series; </w:t>
      </w:r>
      <m:oMath>
        <m:sSub>
          <m:sSubPr>
            <m:ctrlPr>
              <w:rPr>
                <w:rFonts w:ascii="Cambria Math" w:hAnsi="Cambria Math"/>
              </w:rPr>
            </m:ctrlPr>
          </m:sSubPr>
          <m:e>
            <m:r>
              <w:rPr>
                <w:rFonts w:ascii="Cambria Math" w:hAnsi="Cambria Math"/>
              </w:rPr>
              <m:t>X</m:t>
            </m:r>
          </m:e>
          <m:sub>
            <m:r>
              <w:rPr>
                <w:rFonts w:ascii="Cambria Math" w:hAnsi="Cambria Math"/>
              </w:rPr>
              <m:t>t</m:t>
            </m:r>
          </m:sub>
        </m:sSub>
      </m:oMath>
      <w:r w:rsidR="00F11283">
        <w:t xml:space="preserve"> is the treatment dummy variable taking on values of 0 in the pre-intervention period and 1 in the post-intervention period; </w:t>
      </w:r>
      <m:oMath>
        <m:sSub>
          <m:sSubPr>
            <m:ctrlPr>
              <w:rPr>
                <w:rFonts w:ascii="Cambria Math" w:hAnsi="Cambria Math"/>
              </w:rPr>
            </m:ctrlPr>
          </m:sSubPr>
          <m:e>
            <m:r>
              <w:rPr>
                <w:rFonts w:ascii="Cambria Math" w:hAnsi="Cambria Math"/>
              </w:rPr>
              <m:t>β</m:t>
            </m:r>
          </m:e>
          <m:sub>
            <m:r>
              <w:rPr>
                <w:rFonts w:ascii="Cambria Math" w:hAnsi="Cambria Math"/>
              </w:rPr>
              <m:t>0</m:t>
            </m:r>
          </m:sub>
        </m:sSub>
      </m:oMath>
      <w:r w:rsidR="00F11283">
        <w:t xml:space="preserve"> is the model intercept or baseline level at t = 0; </w:t>
      </w:r>
      <m:oMath>
        <m:sSub>
          <m:sSubPr>
            <m:ctrlPr>
              <w:rPr>
                <w:rFonts w:ascii="Cambria Math" w:hAnsi="Cambria Math"/>
              </w:rPr>
            </m:ctrlPr>
          </m:sSubPr>
          <m:e>
            <m:r>
              <w:rPr>
                <w:rFonts w:ascii="Cambria Math" w:hAnsi="Cambria Math"/>
              </w:rPr>
              <m:t>β</m:t>
            </m:r>
          </m:e>
          <m:sub>
            <m:r>
              <w:rPr>
                <w:rFonts w:ascii="Cambria Math" w:hAnsi="Cambria Math"/>
              </w:rPr>
              <m:t>1</m:t>
            </m:r>
          </m:sub>
        </m:sSub>
      </m:oMath>
      <w:r w:rsidR="00F11283">
        <w:t xml:space="preserve"> represents the estimated slope (or growth rate) during the pre-intervention period, which we specify as the </w:t>
      </w:r>
      <w:proofErr w:type="spellStart"/>
      <w:r w:rsidR="00F11283" w:rsidRPr="001A5781">
        <w:rPr>
          <w:b/>
          <w:i/>
        </w:rPr>
        <w:t>ts_year</w:t>
      </w:r>
      <w:proofErr w:type="spellEnd"/>
      <w:r w:rsidR="00F11283">
        <w:t xml:space="preserve"> coefficient; </w:t>
      </w:r>
      <m:oMath>
        <m:sSub>
          <m:sSubPr>
            <m:ctrlPr>
              <w:rPr>
                <w:rFonts w:ascii="Cambria Math" w:hAnsi="Cambria Math"/>
              </w:rPr>
            </m:ctrlPr>
          </m:sSubPr>
          <m:e>
            <m:r>
              <w:rPr>
                <w:rFonts w:ascii="Cambria Math" w:hAnsi="Cambria Math"/>
              </w:rPr>
              <m:t>β</m:t>
            </m:r>
          </m:e>
          <m:sub>
            <m:r>
              <w:rPr>
                <w:rFonts w:ascii="Cambria Math" w:hAnsi="Cambria Math"/>
              </w:rPr>
              <m:t>2</m:t>
            </m:r>
          </m:sub>
        </m:sSub>
      </m:oMath>
      <w:r w:rsidR="00F11283">
        <w:t xml:space="preserve"> represents the level change following the intervention, specified as the </w:t>
      </w:r>
      <w:proofErr w:type="spellStart"/>
      <w:r w:rsidR="00F11283" w:rsidRPr="001A5781">
        <w:rPr>
          <w:b/>
          <w:i/>
        </w:rPr>
        <w:t>prepost</w:t>
      </w:r>
      <w:proofErr w:type="spellEnd"/>
      <w:r w:rsidR="00F11283">
        <w:t xml:space="preserve"> coefficient; and </w:t>
      </w:r>
      <m:oMath>
        <m:sSub>
          <m:sSubPr>
            <m:ctrlPr>
              <w:rPr>
                <w:rFonts w:ascii="Cambria Math" w:hAnsi="Cambria Math"/>
              </w:rPr>
            </m:ctrlPr>
          </m:sSubPr>
          <m:e>
            <m:r>
              <w:rPr>
                <w:rFonts w:ascii="Cambria Math" w:hAnsi="Cambria Math"/>
              </w:rPr>
              <m:t>β</m:t>
            </m:r>
          </m:e>
          <m:sub>
            <m:r>
              <w:rPr>
                <w:rFonts w:ascii="Cambria Math" w:hAnsi="Cambria Math"/>
              </w:rPr>
              <m:t>3</m:t>
            </m:r>
          </m:sub>
        </m:sSub>
      </m:oMath>
      <w:r w:rsidR="00F11283">
        <w:t xml:space="preserve"> indicates the slope change following the intervention, which is the </w:t>
      </w:r>
      <w:proofErr w:type="spellStart"/>
      <w:r w:rsidR="00F11283" w:rsidRPr="001A5781">
        <w:rPr>
          <w:b/>
          <w:i/>
        </w:rPr>
        <w:t>ts_year:prepost</w:t>
      </w:r>
      <w:proofErr w:type="spellEnd"/>
      <w:r w:rsidR="00F11283">
        <w:t xml:space="preserve"> coefficient. A positive and statistically significant </w:t>
      </w:r>
      <m:oMath>
        <m:sSub>
          <m:sSubPr>
            <m:ctrlPr>
              <w:rPr>
                <w:rFonts w:ascii="Cambria Math" w:hAnsi="Cambria Math"/>
              </w:rPr>
            </m:ctrlPr>
          </m:sSubPr>
          <m:e>
            <m:r>
              <w:rPr>
                <w:rFonts w:ascii="Cambria Math" w:hAnsi="Cambria Math"/>
              </w:rPr>
              <m:t>β</m:t>
            </m:r>
          </m:e>
          <m:sub>
            <m:r>
              <w:rPr>
                <w:rFonts w:ascii="Cambria Math" w:hAnsi="Cambria Math"/>
              </w:rPr>
              <m:t>2</m:t>
            </m:r>
          </m:sub>
        </m:sSub>
      </m:oMath>
      <w:r w:rsidR="00F11283">
        <w:t xml:space="preserve"> coefficient tends to suggest a positive causal effect on the level of business vitality immediately following the street improvement. A positive and statistically significant </w:t>
      </w:r>
      <m:oMath>
        <m:sSub>
          <m:sSubPr>
            <m:ctrlPr>
              <w:rPr>
                <w:rFonts w:ascii="Cambria Math" w:hAnsi="Cambria Math"/>
              </w:rPr>
            </m:ctrlPr>
          </m:sSubPr>
          <m:e>
            <m:r>
              <w:rPr>
                <w:rFonts w:ascii="Cambria Math" w:hAnsi="Cambria Math"/>
              </w:rPr>
              <m:t>β</m:t>
            </m:r>
          </m:e>
          <m:sub>
            <m:r>
              <w:rPr>
                <w:rFonts w:ascii="Cambria Math" w:hAnsi="Cambria Math"/>
              </w:rPr>
              <m:t>3</m:t>
            </m:r>
          </m:sub>
        </m:sSub>
      </m:oMath>
      <w:r w:rsidR="00F11283">
        <w:t xml:space="preserve"> coefficient would suggest a positive causal effect on the growth in business vitality over time.</w:t>
      </w:r>
    </w:p>
    <w:p w14:paraId="1798EF5A" w14:textId="77777777" w:rsidR="0068333D" w:rsidRDefault="0068333D" w:rsidP="0068333D">
      <w:pPr>
        <w:jc w:val="center"/>
      </w:pPr>
      <w:r w:rsidRPr="00130DD3">
        <w:rPr>
          <w:noProof/>
          <w:lang w:eastAsia="zh-TW"/>
        </w:rPr>
        <w:lastRenderedPageBreak/>
        <w:drawing>
          <wp:inline distT="0" distB="0" distL="0" distR="0" wp14:anchorId="560BD2ED" wp14:editId="1EA7A744">
            <wp:extent cx="3162300" cy="2200275"/>
            <wp:effectExtent l="114300" t="114300" r="114300" b="142875"/>
            <wp:docPr id="6" name="Picture 9" descr="https://lh6.googleusercontent.com/Wm26rXHNv3q1eA6_ZiOtgU1uMvtR-NZjDYWA97dwhcct4hLoQhFY3ENpAsMe_IBC0yAak1R4eyiqLqBXLuXk9QYf4dco6hYFd2VyuEOsjK-5ZWnzAAvZJxgExbfplBf0jWYlPw-8"/>
            <wp:cNvGraphicFramePr/>
            <a:graphic xmlns:a="http://schemas.openxmlformats.org/drawingml/2006/main">
              <a:graphicData uri="http://schemas.openxmlformats.org/drawingml/2006/picture">
                <pic:pic xmlns:pic="http://schemas.openxmlformats.org/drawingml/2006/picture">
                  <pic:nvPicPr>
                    <pic:cNvPr id="10" name="Picture 9" descr="https://lh6.googleusercontent.com/Wm26rXHNv3q1eA6_ZiOtgU1uMvtR-NZjDYWA97dwhcct4hLoQhFY3ENpAsMe_IBC0yAak1R4eyiqLqBXLuXk9QYf4dco6hYFd2VyuEOsjK-5ZWnzAAvZJxgExbfplBf0jWYlPw-8"/>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868" cy="2200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8333D">
        <w:t xml:space="preserve"> </w:t>
      </w:r>
    </w:p>
    <w:p w14:paraId="6122FBE7" w14:textId="77777777" w:rsidR="0068333D" w:rsidRDefault="0068333D" w:rsidP="0068333D">
      <w:pPr>
        <w:pStyle w:val="Caption"/>
      </w:pPr>
      <w:r>
        <w:t xml:space="preserve">Figure </w:t>
      </w:r>
      <w:fldSimple w:instr=" STYLEREF 1 \s ">
        <w:r>
          <w:rPr>
            <w:noProof/>
          </w:rPr>
          <w:t>2</w:t>
        </w:r>
      </w:fldSimple>
      <w:r>
        <w:noBreakHyphen/>
      </w:r>
      <w:fldSimple w:instr=" SEQ Figure \* ARABIC \s 1 ">
        <w:r>
          <w:rPr>
            <w:noProof/>
          </w:rPr>
          <w:t>2</w:t>
        </w:r>
      </w:fldSimple>
      <w:r>
        <w:t>. Illustration of ITS method</w:t>
      </w:r>
    </w:p>
    <w:p w14:paraId="1626AD34" w14:textId="77777777" w:rsidR="00F14DA5" w:rsidRDefault="00F14DA5" w:rsidP="00F14DA5">
      <w:pPr>
        <w:pStyle w:val="FirstParagraph"/>
      </w:pPr>
    </w:p>
    <w:p w14:paraId="27B00ADD" w14:textId="77777777" w:rsidR="00F11283" w:rsidRDefault="00F11283" w:rsidP="00F11283">
      <w:r>
        <w:t>In conclusion, a</w:t>
      </w:r>
      <w:r w:rsidRPr="00BC5A76">
        <w:t xml:space="preserve">ggregated trend analysis and </w:t>
      </w:r>
      <w:r>
        <w:t xml:space="preserve">DID </w:t>
      </w:r>
      <w:r w:rsidRPr="00BC5A76">
        <w:t xml:space="preserve">analysis both utilize control corridors to </w:t>
      </w:r>
      <w:r>
        <w:t>determine</w:t>
      </w:r>
      <w:r w:rsidRPr="00BC5A76">
        <w:t xml:space="preserve"> the impacts of </w:t>
      </w:r>
      <w:r>
        <w:t xml:space="preserve">the street improvement </w:t>
      </w:r>
      <w:r w:rsidRPr="00BC5A76">
        <w:t xml:space="preserve">corridor, while </w:t>
      </w:r>
      <w:r>
        <w:t xml:space="preserve">the ITS analysis </w:t>
      </w:r>
      <w:r w:rsidRPr="00BC5A76">
        <w:t>use</w:t>
      </w:r>
      <w:r>
        <w:t>s</w:t>
      </w:r>
      <w:r w:rsidRPr="00BC5A76">
        <w:t xml:space="preserve"> multiple time points </w:t>
      </w:r>
      <w:r>
        <w:t xml:space="preserve">on </w:t>
      </w:r>
      <w:r w:rsidRPr="00BC5A76">
        <w:t xml:space="preserve">the </w:t>
      </w:r>
      <w:r>
        <w:t xml:space="preserve">street improvement </w:t>
      </w:r>
      <w:r w:rsidRPr="00BC5A76">
        <w:t>corridor itself</w:t>
      </w:r>
      <w:r>
        <w:t xml:space="preserve"> to pinpoint economic outcomes</w:t>
      </w:r>
      <w:r w:rsidRPr="00BC5A76">
        <w:t xml:space="preserve">. In general, </w:t>
      </w:r>
      <w:r>
        <w:t>the ITS</w:t>
      </w:r>
      <w:r w:rsidRPr="00BC5A76">
        <w:t xml:space="preserve"> analysis provides more robust results than the other two methods, since </w:t>
      </w:r>
      <w:r>
        <w:t>it is</w:t>
      </w:r>
      <w:r w:rsidRPr="00BC5A76">
        <w:t xml:space="preserve"> less likely to be affected by the selection of control corridors. However, this method generally requires more data points post-intervention to achieve meaningful and valid impact estimations. </w:t>
      </w:r>
      <w:r>
        <w:t>The DID approach is heavily dependent on finding comparable control corridors (which may not always exist), so the analytical results may be weakened when appropriate corridors cannot be identified.</w:t>
      </w:r>
    </w:p>
    <w:p w14:paraId="279D9555" w14:textId="77777777" w:rsidR="00F11283" w:rsidRDefault="00F11283" w:rsidP="00F11283">
      <w:r>
        <w:t>Additional data points after the completion of street improvements may help to provide further validity and rigor to the analysis of resulting economic outcomes. Moreover, further contextual information about the street improvement corridor, such as quality or level of the street improvement, number of parking spots eliminated, and subsequent bicycle ridership or pedestrian increases, would help to better understand the linkages between the improvements and potential impacts on business vitality. Extending this research to more closely examine the changes and shifts in industrial patterns will be valuable as well.</w:t>
      </w:r>
    </w:p>
    <w:p w14:paraId="1CBEFED4" w14:textId="77777777" w:rsidR="00F14DA5" w:rsidRPr="007A760D" w:rsidRDefault="00F14DA5" w:rsidP="00F14DA5">
      <w:pPr>
        <w:pStyle w:val="BodyText"/>
      </w:pPr>
      <w:r>
        <w:br w:type="page"/>
      </w:r>
    </w:p>
    <w:p w14:paraId="6642DAD0" w14:textId="77777777" w:rsidR="00A61086" w:rsidRDefault="00FF17C4">
      <w:pPr>
        <w:pStyle w:val="Heading1"/>
      </w:pPr>
      <w:r>
        <w:lastRenderedPageBreak/>
        <w:t>Corridor Comparisons</w:t>
      </w:r>
    </w:p>
    <w:p w14:paraId="59A430A6" w14:textId="399E00B2" w:rsidR="00F11283" w:rsidRDefault="00F11283" w:rsidP="00F11283">
      <w:pPr>
        <w:pStyle w:val="FirstParagraph"/>
      </w:pPr>
      <w:bookmarkStart w:id="8" w:name="virginia-avenue"/>
      <w:bookmarkEnd w:id="8"/>
      <w:r>
        <w:t>Our first test in corridor comparability is to compare the number of business jobs, retail, and food service industry jobs per block on the corridors to number of jobs per block for the city of Indianapolis as a whole. This is allows us to have a broad understanding of the relative job density of the corridors. This serves two purposes: first, it gives us a quick estimate of the range of employment in each industry on the corridors; and second, it shows how similar the corridors are to each other in terms of economic activities. Finally, we perform a t-test (a statistical test designed to measure if the means of two different groups are statistically similar) on the number of economic indicators, which offers a more rigorous test of the comparability of the corridors. All of the following figures and tables use employment data from the LEHD in the year prior to the street improvement project as the base year for comparison.</w:t>
      </w:r>
    </w:p>
    <w:p w14:paraId="50D97E79" w14:textId="77777777" w:rsidR="00A61086" w:rsidRDefault="00FF17C4">
      <w:pPr>
        <w:pStyle w:val="Heading2"/>
      </w:pPr>
      <w:r>
        <w:t>Virginia Avenue</w:t>
      </w:r>
    </w:p>
    <w:p w14:paraId="42D5D0B5" w14:textId="77777777" w:rsidR="00A61086" w:rsidRDefault="00FF17C4">
      <w:r>
        <w:rPr>
          <w:noProof/>
          <w:lang w:eastAsia="zh-TW"/>
        </w:rPr>
        <w:drawing>
          <wp:inline distT="0" distB="0" distL="0" distR="0" wp14:anchorId="168E9063" wp14:editId="7645E221">
            <wp:extent cx="5502303" cy="3927944"/>
            <wp:effectExtent l="0" t="0" r="3175" b="0"/>
            <wp:docPr id="2" name="Picture" descr="Virginia Avenue Corridor"/>
            <wp:cNvGraphicFramePr/>
            <a:graphic xmlns:a="http://schemas.openxmlformats.org/drawingml/2006/main">
              <a:graphicData uri="http://schemas.openxmlformats.org/drawingml/2006/picture">
                <pic:pic xmlns:pic="http://schemas.openxmlformats.org/drawingml/2006/picture">
                  <pic:nvPicPr>
                    <pic:cNvPr id="0" name="Picture" descr="images/indy_va_corridors.png"/>
                    <pic:cNvPicPr>
                      <a:picLocks noChangeAspect="1" noChangeArrowheads="1"/>
                    </pic:cNvPicPr>
                  </pic:nvPicPr>
                  <pic:blipFill>
                    <a:blip r:embed="rId11"/>
                    <a:stretch>
                      <a:fillRect/>
                    </a:stretch>
                  </pic:blipFill>
                  <pic:spPr bwMode="auto">
                    <a:xfrm>
                      <a:off x="0" y="0"/>
                      <a:ext cx="5505359" cy="3930125"/>
                    </a:xfrm>
                    <a:prstGeom prst="rect">
                      <a:avLst/>
                    </a:prstGeom>
                    <a:noFill/>
                    <a:ln w="9525">
                      <a:noFill/>
                      <a:headEnd/>
                      <a:tailEnd/>
                    </a:ln>
                  </pic:spPr>
                </pic:pic>
              </a:graphicData>
            </a:graphic>
          </wp:inline>
        </w:drawing>
      </w:r>
    </w:p>
    <w:p w14:paraId="1FB4870C" w14:textId="77777777" w:rsidR="00A61086" w:rsidRDefault="00F41A69" w:rsidP="00F41A69">
      <w:pPr>
        <w:pStyle w:val="Caption"/>
      </w:pPr>
      <w:r>
        <w:t xml:space="preserve">Figure </w:t>
      </w:r>
      <w:fldSimple w:instr=" STYLEREF 1 \s ">
        <w:r>
          <w:rPr>
            <w:noProof/>
          </w:rPr>
          <w:t>3</w:t>
        </w:r>
      </w:fldSimple>
      <w:r>
        <w:noBreakHyphen/>
      </w:r>
      <w:fldSimple w:instr=" SEQ Figure \* ARABIC \s 1 ">
        <w:r>
          <w:rPr>
            <w:noProof/>
          </w:rPr>
          <w:t>1</w:t>
        </w:r>
      </w:fldSimple>
      <w:r>
        <w:t xml:space="preserve">. </w:t>
      </w:r>
      <w:r w:rsidR="00FF17C4">
        <w:t>Virginia Avenue Corridor</w:t>
      </w:r>
    </w:p>
    <w:p w14:paraId="6BADA249" w14:textId="2586D6A9" w:rsidR="00A61086" w:rsidRDefault="00FF17C4">
      <w:pPr>
        <w:pStyle w:val="BodyText"/>
      </w:pPr>
      <w:r>
        <w:t xml:space="preserve">Our first treatment corridor is Virginia Avenue, </w:t>
      </w:r>
      <w:r w:rsidR="009B3F0E">
        <w:t>where</w:t>
      </w:r>
      <w:r>
        <w:t xml:space="preserve"> </w:t>
      </w:r>
      <w:r w:rsidR="009B3F0E">
        <w:t xml:space="preserve">a </w:t>
      </w:r>
      <w:r>
        <w:t xml:space="preserve">separate bike lane </w:t>
      </w:r>
      <w:r w:rsidR="009B3F0E">
        <w:t xml:space="preserve">was installed </w:t>
      </w:r>
      <w:r>
        <w:t xml:space="preserve">in 2011. The </w:t>
      </w:r>
      <w:r w:rsidR="009B3F0E">
        <w:t xml:space="preserve">corresponding </w:t>
      </w:r>
      <w:r>
        <w:t xml:space="preserve">control corridors are Meridian Street, Prospect Street, and Shelby Street. Prospect Street and Shelby Street are </w:t>
      </w:r>
      <w:r w:rsidR="009B3F0E">
        <w:t xml:space="preserve">geographically </w:t>
      </w:r>
      <w:r>
        <w:t>close</w:t>
      </w:r>
      <w:r w:rsidR="009B3F0E">
        <w:t>r</w:t>
      </w:r>
      <w:r>
        <w:t xml:space="preserve"> to the treatment corridor in southeast downtown Indianapolis while Meridian Street is located in </w:t>
      </w:r>
      <w:r w:rsidR="009B3F0E">
        <w:t xml:space="preserve">the </w:t>
      </w:r>
      <w:r>
        <w:t>central downtown area.</w:t>
      </w:r>
    </w:p>
    <w:p w14:paraId="7F37BCEE" w14:textId="67E7D155" w:rsidR="00A61086" w:rsidRDefault="00C375C8">
      <w:pPr>
        <w:pStyle w:val="FirstParagraph"/>
      </w:pPr>
      <w:bookmarkStart w:id="9" w:name="corridor-employment-amount"/>
      <w:bookmarkEnd w:id="9"/>
      <w:r>
        <w:lastRenderedPageBreak/>
        <w:t xml:space="preserve">The following table shows total, retail, and food employment for Virginia Avenue and the control corridors, as well as the city-based percentile ranks of employment on the corridors. </w:t>
      </w:r>
      <w:r w:rsidR="00FF17C4">
        <w:t xml:space="preserve">Comparing retail and </w:t>
      </w:r>
      <w:r w:rsidR="00A43D13">
        <w:t>food</w:t>
      </w:r>
      <w:r w:rsidR="00FF17C4">
        <w:t xml:space="preserve"> </w:t>
      </w:r>
      <w:r w:rsidR="003E57AE">
        <w:t xml:space="preserve">services </w:t>
      </w:r>
      <w:r w:rsidR="00FF17C4">
        <w:t>employment,</w:t>
      </w:r>
      <w:r w:rsidR="00A43D13">
        <w:t xml:space="preserve"> we find </w:t>
      </w:r>
      <w:r w:rsidR="009B3F0E">
        <w:t>that the</w:t>
      </w:r>
      <w:r w:rsidR="00A43D13">
        <w:t xml:space="preserve"> Meridian Street c</w:t>
      </w:r>
      <w:r w:rsidR="00FF17C4">
        <w:t>orridor has much more employment than the Virginia Ave</w:t>
      </w:r>
      <w:r w:rsidR="00A43D13">
        <w:t>nue</w:t>
      </w:r>
      <w:r w:rsidR="00FF17C4">
        <w:t xml:space="preserve"> corridor. The other two comparison corridors, Prospect</w:t>
      </w:r>
      <w:r w:rsidR="00A43D13">
        <w:t xml:space="preserve"> Street</w:t>
      </w:r>
      <w:r w:rsidR="00FF17C4">
        <w:t xml:space="preserve"> and Shelby</w:t>
      </w:r>
      <w:r w:rsidR="00A43D13">
        <w:t xml:space="preserve"> Street</w:t>
      </w:r>
      <w:r w:rsidR="00FF17C4">
        <w:t>, have similar levels of employment</w:t>
      </w:r>
      <w:r w:rsidR="004C32C9">
        <w:t xml:space="preserve"> when compared to Virginia Avenue, but with </w:t>
      </w:r>
      <w:r>
        <w:t xml:space="preserve">slightly </w:t>
      </w:r>
      <w:r w:rsidR="004C32C9">
        <w:t xml:space="preserve">higher </w:t>
      </w:r>
      <w:r w:rsidR="00FF17C4">
        <w:t>retail employment.</w:t>
      </w:r>
    </w:p>
    <w:p w14:paraId="185804C1" w14:textId="77777777" w:rsidR="00F41A69" w:rsidRPr="00F41A69" w:rsidRDefault="00F41A69" w:rsidP="00F41A69">
      <w:pPr>
        <w:pStyle w:val="Caption"/>
      </w:pPr>
      <w:r>
        <w:t xml:space="preserve">Table </w:t>
      </w:r>
      <w:fldSimple w:instr=" STYLEREF 1 \s ">
        <w:r>
          <w:rPr>
            <w:noProof/>
          </w:rPr>
          <w:t>3</w:t>
        </w:r>
      </w:fldSimple>
      <w:r>
        <w:noBreakHyphen/>
      </w:r>
      <w:fldSimple w:instr=" SEQ Table \* ARABIC \s 1 ">
        <w:r>
          <w:rPr>
            <w:noProof/>
          </w:rPr>
          <w:t>1</w:t>
        </w:r>
      </w:fldSimple>
      <w:r>
        <w:t>. Virginia Avenue Corridor and Control Corridors Employment Percentiles</w:t>
      </w:r>
    </w:p>
    <w:tbl>
      <w:tblPr>
        <w:tblW w:w="4814" w:type="pct"/>
        <w:tblLook w:val="07E0" w:firstRow="1" w:lastRow="1" w:firstColumn="1" w:lastColumn="1" w:noHBand="1" w:noVBand="1"/>
      </w:tblPr>
      <w:tblGrid>
        <w:gridCol w:w="2091"/>
        <w:gridCol w:w="1143"/>
        <w:gridCol w:w="1240"/>
        <w:gridCol w:w="1118"/>
        <w:gridCol w:w="1140"/>
        <w:gridCol w:w="1140"/>
        <w:gridCol w:w="1140"/>
      </w:tblGrid>
      <w:tr w:rsidR="00F14DA5" w14:paraId="600D8F0F" w14:textId="77777777" w:rsidTr="00F14DA5">
        <w:tc>
          <w:tcPr>
            <w:tcW w:w="0" w:type="auto"/>
            <w:tcBorders>
              <w:bottom w:val="single" w:sz="4" w:space="0" w:color="FFFFFF" w:themeColor="background1"/>
            </w:tcBorders>
            <w:vAlign w:val="bottom"/>
          </w:tcPr>
          <w:p w14:paraId="03BB1132" w14:textId="77777777" w:rsidR="00F14DA5" w:rsidRDefault="00F14DA5">
            <w:pPr>
              <w:pStyle w:val="Compact"/>
            </w:pPr>
          </w:p>
        </w:tc>
        <w:tc>
          <w:tcPr>
            <w:tcW w:w="0" w:type="auto"/>
            <w:gridSpan w:val="3"/>
            <w:tcBorders>
              <w:bottom w:val="single" w:sz="4" w:space="0" w:color="FFFFFF" w:themeColor="background1"/>
            </w:tcBorders>
            <w:vAlign w:val="bottom"/>
          </w:tcPr>
          <w:p w14:paraId="3A8F5DAB" w14:textId="27143E14" w:rsidR="00F14DA5" w:rsidRDefault="00F14DA5" w:rsidP="00F14DA5">
            <w:pPr>
              <w:pStyle w:val="Compact"/>
              <w:jc w:val="center"/>
            </w:pPr>
            <w:r>
              <w:t>Employment</w:t>
            </w:r>
            <w:r w:rsidR="00A43D13">
              <w:t xml:space="preserve"> per block</w:t>
            </w:r>
          </w:p>
        </w:tc>
        <w:tc>
          <w:tcPr>
            <w:tcW w:w="0" w:type="auto"/>
            <w:gridSpan w:val="3"/>
            <w:tcBorders>
              <w:bottom w:val="single" w:sz="4" w:space="0" w:color="FFFFFF" w:themeColor="background1"/>
            </w:tcBorders>
            <w:vAlign w:val="bottom"/>
          </w:tcPr>
          <w:p w14:paraId="29092CEF" w14:textId="77777777" w:rsidR="00F14DA5" w:rsidRDefault="00F14DA5" w:rsidP="00F14DA5">
            <w:pPr>
              <w:pStyle w:val="Compact"/>
              <w:jc w:val="center"/>
            </w:pPr>
            <w:r>
              <w:t>Percentiles</w:t>
            </w:r>
          </w:p>
        </w:tc>
      </w:tr>
      <w:tr w:rsidR="00F14DA5" w14:paraId="377A5D3C" w14:textId="77777777" w:rsidTr="00F14DA5">
        <w:tc>
          <w:tcPr>
            <w:tcW w:w="0" w:type="auto"/>
            <w:tcBorders>
              <w:top w:val="single" w:sz="4" w:space="0" w:color="FFFFFF" w:themeColor="background1"/>
              <w:bottom w:val="single" w:sz="0" w:space="0" w:color="auto"/>
            </w:tcBorders>
            <w:vAlign w:val="bottom"/>
          </w:tcPr>
          <w:p w14:paraId="0336222C" w14:textId="77777777" w:rsidR="00A61086" w:rsidRDefault="00FF17C4">
            <w:pPr>
              <w:pStyle w:val="Compact"/>
            </w:pPr>
            <w:r>
              <w:t>Corridor</w:t>
            </w:r>
          </w:p>
        </w:tc>
        <w:tc>
          <w:tcPr>
            <w:tcW w:w="0" w:type="auto"/>
            <w:tcBorders>
              <w:top w:val="single" w:sz="4" w:space="0" w:color="FFFFFF" w:themeColor="background1"/>
              <w:bottom w:val="single" w:sz="0" w:space="0" w:color="auto"/>
            </w:tcBorders>
            <w:vAlign w:val="bottom"/>
          </w:tcPr>
          <w:p w14:paraId="4EC99ECA" w14:textId="77777777" w:rsidR="00A61086" w:rsidRDefault="00F14DA5" w:rsidP="00F14DA5">
            <w:pPr>
              <w:pStyle w:val="Compact"/>
            </w:pPr>
            <w:r>
              <w:t>Total</w:t>
            </w:r>
          </w:p>
        </w:tc>
        <w:tc>
          <w:tcPr>
            <w:tcW w:w="0" w:type="auto"/>
            <w:tcBorders>
              <w:top w:val="single" w:sz="4" w:space="0" w:color="FFFFFF" w:themeColor="background1"/>
              <w:bottom w:val="single" w:sz="0" w:space="0" w:color="auto"/>
            </w:tcBorders>
            <w:vAlign w:val="bottom"/>
          </w:tcPr>
          <w:p w14:paraId="27DD9D0E" w14:textId="77777777" w:rsidR="00A61086" w:rsidRDefault="00F14DA5" w:rsidP="00F14DA5">
            <w:pPr>
              <w:pStyle w:val="Compact"/>
            </w:pPr>
            <w:r>
              <w:t>Retail</w:t>
            </w:r>
          </w:p>
        </w:tc>
        <w:tc>
          <w:tcPr>
            <w:tcW w:w="0" w:type="auto"/>
            <w:tcBorders>
              <w:top w:val="single" w:sz="4" w:space="0" w:color="FFFFFF" w:themeColor="background1"/>
              <w:bottom w:val="single" w:sz="0" w:space="0" w:color="auto"/>
            </w:tcBorders>
            <w:vAlign w:val="bottom"/>
          </w:tcPr>
          <w:p w14:paraId="7BDEDB41" w14:textId="77777777" w:rsidR="00A61086" w:rsidRDefault="00F14DA5" w:rsidP="00F14DA5">
            <w:pPr>
              <w:pStyle w:val="Compact"/>
            </w:pPr>
            <w:r>
              <w:t>Food</w:t>
            </w:r>
          </w:p>
        </w:tc>
        <w:tc>
          <w:tcPr>
            <w:tcW w:w="0" w:type="auto"/>
            <w:tcBorders>
              <w:top w:val="single" w:sz="4" w:space="0" w:color="FFFFFF" w:themeColor="background1"/>
              <w:bottom w:val="single" w:sz="0" w:space="0" w:color="auto"/>
            </w:tcBorders>
            <w:vAlign w:val="bottom"/>
          </w:tcPr>
          <w:p w14:paraId="2F8E3D28" w14:textId="77777777" w:rsidR="00A61086" w:rsidRDefault="00F14DA5" w:rsidP="00F14DA5">
            <w:pPr>
              <w:pStyle w:val="Compact"/>
            </w:pPr>
            <w:r>
              <w:t>Total</w:t>
            </w:r>
          </w:p>
        </w:tc>
        <w:tc>
          <w:tcPr>
            <w:tcW w:w="0" w:type="auto"/>
            <w:tcBorders>
              <w:top w:val="single" w:sz="4" w:space="0" w:color="FFFFFF" w:themeColor="background1"/>
              <w:bottom w:val="single" w:sz="0" w:space="0" w:color="auto"/>
            </w:tcBorders>
            <w:vAlign w:val="bottom"/>
          </w:tcPr>
          <w:p w14:paraId="7ECCFAC6" w14:textId="77777777" w:rsidR="00A61086" w:rsidRDefault="00FF17C4">
            <w:pPr>
              <w:pStyle w:val="Compact"/>
            </w:pPr>
            <w:r>
              <w:t>R</w:t>
            </w:r>
            <w:r w:rsidR="00F14DA5">
              <w:t>etail</w:t>
            </w:r>
          </w:p>
        </w:tc>
        <w:tc>
          <w:tcPr>
            <w:tcW w:w="0" w:type="auto"/>
            <w:tcBorders>
              <w:top w:val="single" w:sz="4" w:space="0" w:color="FFFFFF" w:themeColor="background1"/>
              <w:bottom w:val="single" w:sz="0" w:space="0" w:color="auto"/>
            </w:tcBorders>
            <w:vAlign w:val="bottom"/>
          </w:tcPr>
          <w:p w14:paraId="18BD7691" w14:textId="77777777" w:rsidR="00A61086" w:rsidRDefault="00F14DA5">
            <w:pPr>
              <w:pStyle w:val="Compact"/>
            </w:pPr>
            <w:r>
              <w:t>Food</w:t>
            </w:r>
          </w:p>
        </w:tc>
      </w:tr>
      <w:tr w:rsidR="00F14DA5" w14:paraId="39D4A556" w14:textId="77777777" w:rsidTr="00F14DA5">
        <w:tc>
          <w:tcPr>
            <w:tcW w:w="0" w:type="auto"/>
          </w:tcPr>
          <w:p w14:paraId="6C57A85A" w14:textId="77777777" w:rsidR="00A61086" w:rsidRDefault="00FF17C4">
            <w:pPr>
              <w:pStyle w:val="Compact"/>
            </w:pPr>
            <w:r>
              <w:t>Virginia Ave.</w:t>
            </w:r>
          </w:p>
        </w:tc>
        <w:tc>
          <w:tcPr>
            <w:tcW w:w="0" w:type="auto"/>
          </w:tcPr>
          <w:p w14:paraId="79E27190" w14:textId="77777777" w:rsidR="00A61086" w:rsidRDefault="00FF17C4">
            <w:pPr>
              <w:pStyle w:val="Compact"/>
            </w:pPr>
            <w:r>
              <w:t>18</w:t>
            </w:r>
          </w:p>
        </w:tc>
        <w:tc>
          <w:tcPr>
            <w:tcW w:w="0" w:type="auto"/>
          </w:tcPr>
          <w:p w14:paraId="7F2B9EAA" w14:textId="77777777" w:rsidR="00A61086" w:rsidRDefault="00FF17C4">
            <w:pPr>
              <w:pStyle w:val="Compact"/>
            </w:pPr>
            <w:r>
              <w:t>1</w:t>
            </w:r>
          </w:p>
        </w:tc>
        <w:tc>
          <w:tcPr>
            <w:tcW w:w="0" w:type="auto"/>
          </w:tcPr>
          <w:p w14:paraId="4772DB9D" w14:textId="77777777" w:rsidR="00A61086" w:rsidRDefault="00FF17C4">
            <w:pPr>
              <w:pStyle w:val="Compact"/>
            </w:pPr>
            <w:r>
              <w:t>4</w:t>
            </w:r>
          </w:p>
        </w:tc>
        <w:tc>
          <w:tcPr>
            <w:tcW w:w="0" w:type="auto"/>
          </w:tcPr>
          <w:p w14:paraId="1C5FF99E" w14:textId="77777777" w:rsidR="00A61086" w:rsidRDefault="00FF17C4">
            <w:pPr>
              <w:pStyle w:val="Compact"/>
            </w:pPr>
            <w:r>
              <w:t>35-40</w:t>
            </w:r>
          </w:p>
        </w:tc>
        <w:tc>
          <w:tcPr>
            <w:tcW w:w="0" w:type="auto"/>
          </w:tcPr>
          <w:p w14:paraId="28F7E53C" w14:textId="77777777" w:rsidR="00A61086" w:rsidRDefault="00FF17C4">
            <w:pPr>
              <w:pStyle w:val="Compact"/>
            </w:pPr>
            <w:r>
              <w:t>40-45</w:t>
            </w:r>
          </w:p>
        </w:tc>
        <w:tc>
          <w:tcPr>
            <w:tcW w:w="0" w:type="auto"/>
          </w:tcPr>
          <w:p w14:paraId="49220989" w14:textId="77777777" w:rsidR="00A61086" w:rsidRDefault="00FF17C4">
            <w:pPr>
              <w:pStyle w:val="Compact"/>
            </w:pPr>
            <w:r>
              <w:t>60-65</w:t>
            </w:r>
          </w:p>
        </w:tc>
      </w:tr>
      <w:tr w:rsidR="00F14DA5" w14:paraId="6B6BE9F8" w14:textId="77777777" w:rsidTr="00F14DA5">
        <w:tc>
          <w:tcPr>
            <w:tcW w:w="0" w:type="auto"/>
          </w:tcPr>
          <w:p w14:paraId="2DD7A28B" w14:textId="77777777" w:rsidR="00A61086" w:rsidRDefault="00FF17C4">
            <w:pPr>
              <w:pStyle w:val="Compact"/>
            </w:pPr>
            <w:r>
              <w:t>Meridian St.</w:t>
            </w:r>
          </w:p>
        </w:tc>
        <w:tc>
          <w:tcPr>
            <w:tcW w:w="0" w:type="auto"/>
          </w:tcPr>
          <w:p w14:paraId="44838138" w14:textId="77777777" w:rsidR="00A61086" w:rsidRDefault="00FF17C4">
            <w:pPr>
              <w:pStyle w:val="Compact"/>
            </w:pPr>
            <w:r>
              <w:t>538</w:t>
            </w:r>
          </w:p>
        </w:tc>
        <w:tc>
          <w:tcPr>
            <w:tcW w:w="0" w:type="auto"/>
          </w:tcPr>
          <w:p w14:paraId="04010934" w14:textId="77777777" w:rsidR="00A61086" w:rsidRDefault="00FF17C4">
            <w:pPr>
              <w:pStyle w:val="Compact"/>
            </w:pPr>
            <w:r>
              <w:t>32</w:t>
            </w:r>
          </w:p>
        </w:tc>
        <w:tc>
          <w:tcPr>
            <w:tcW w:w="0" w:type="auto"/>
          </w:tcPr>
          <w:p w14:paraId="36CACAC9" w14:textId="77777777" w:rsidR="00A61086" w:rsidRDefault="00FF17C4">
            <w:pPr>
              <w:pStyle w:val="Compact"/>
            </w:pPr>
            <w:r>
              <w:t>75</w:t>
            </w:r>
          </w:p>
        </w:tc>
        <w:tc>
          <w:tcPr>
            <w:tcW w:w="0" w:type="auto"/>
          </w:tcPr>
          <w:p w14:paraId="1CD25205" w14:textId="77777777" w:rsidR="00A61086" w:rsidRDefault="00FF17C4">
            <w:pPr>
              <w:pStyle w:val="Compact"/>
            </w:pPr>
            <w:r>
              <w:t>90-95</w:t>
            </w:r>
          </w:p>
        </w:tc>
        <w:tc>
          <w:tcPr>
            <w:tcW w:w="0" w:type="auto"/>
          </w:tcPr>
          <w:p w14:paraId="4BA14ADB" w14:textId="77777777" w:rsidR="00A61086" w:rsidRDefault="00FF17C4">
            <w:pPr>
              <w:pStyle w:val="Compact"/>
            </w:pPr>
            <w:r>
              <w:t>85-90</w:t>
            </w:r>
          </w:p>
        </w:tc>
        <w:tc>
          <w:tcPr>
            <w:tcW w:w="0" w:type="auto"/>
          </w:tcPr>
          <w:p w14:paraId="05C18084" w14:textId="77777777" w:rsidR="00A61086" w:rsidRDefault="00FF17C4">
            <w:pPr>
              <w:pStyle w:val="Compact"/>
            </w:pPr>
            <w:r>
              <w:t>90-95</w:t>
            </w:r>
          </w:p>
        </w:tc>
      </w:tr>
      <w:tr w:rsidR="00F14DA5" w14:paraId="22DE4DDE" w14:textId="77777777" w:rsidTr="00F14DA5">
        <w:tc>
          <w:tcPr>
            <w:tcW w:w="0" w:type="auto"/>
          </w:tcPr>
          <w:p w14:paraId="25FBBAC5" w14:textId="77777777" w:rsidR="00A61086" w:rsidRDefault="00FF17C4">
            <w:pPr>
              <w:pStyle w:val="Compact"/>
            </w:pPr>
            <w:r>
              <w:t>Prospect St.</w:t>
            </w:r>
          </w:p>
        </w:tc>
        <w:tc>
          <w:tcPr>
            <w:tcW w:w="0" w:type="auto"/>
          </w:tcPr>
          <w:p w14:paraId="4538CBCB" w14:textId="77777777" w:rsidR="00A61086" w:rsidRDefault="00FF17C4">
            <w:pPr>
              <w:pStyle w:val="Compact"/>
            </w:pPr>
            <w:r>
              <w:t>30</w:t>
            </w:r>
          </w:p>
        </w:tc>
        <w:tc>
          <w:tcPr>
            <w:tcW w:w="0" w:type="auto"/>
          </w:tcPr>
          <w:p w14:paraId="2EEEF560" w14:textId="77777777" w:rsidR="00A61086" w:rsidRDefault="00FF17C4">
            <w:pPr>
              <w:pStyle w:val="Compact"/>
            </w:pPr>
            <w:r>
              <w:t>5</w:t>
            </w:r>
          </w:p>
        </w:tc>
        <w:tc>
          <w:tcPr>
            <w:tcW w:w="0" w:type="auto"/>
          </w:tcPr>
          <w:p w14:paraId="20483A6B" w14:textId="77777777" w:rsidR="00A61086" w:rsidRDefault="00FF17C4">
            <w:pPr>
              <w:pStyle w:val="Compact"/>
            </w:pPr>
            <w:r>
              <w:t>4</w:t>
            </w:r>
          </w:p>
        </w:tc>
        <w:tc>
          <w:tcPr>
            <w:tcW w:w="0" w:type="auto"/>
          </w:tcPr>
          <w:p w14:paraId="0DF5ECD9" w14:textId="77777777" w:rsidR="00A61086" w:rsidRDefault="00FF17C4">
            <w:pPr>
              <w:pStyle w:val="Compact"/>
            </w:pPr>
            <w:r>
              <w:t>45-50</w:t>
            </w:r>
          </w:p>
        </w:tc>
        <w:tc>
          <w:tcPr>
            <w:tcW w:w="0" w:type="auto"/>
          </w:tcPr>
          <w:p w14:paraId="2E8BE95F" w14:textId="77777777" w:rsidR="00A61086" w:rsidRDefault="00FF17C4">
            <w:pPr>
              <w:pStyle w:val="Compact"/>
            </w:pPr>
            <w:r>
              <w:t>60-65</w:t>
            </w:r>
          </w:p>
        </w:tc>
        <w:tc>
          <w:tcPr>
            <w:tcW w:w="0" w:type="auto"/>
          </w:tcPr>
          <w:p w14:paraId="48849F41" w14:textId="77777777" w:rsidR="00A61086" w:rsidRDefault="00FF17C4">
            <w:pPr>
              <w:pStyle w:val="Compact"/>
            </w:pPr>
            <w:r>
              <w:t>60-65</w:t>
            </w:r>
          </w:p>
        </w:tc>
      </w:tr>
      <w:tr w:rsidR="00F14DA5" w14:paraId="7990B957" w14:textId="77777777" w:rsidTr="00F14DA5">
        <w:tc>
          <w:tcPr>
            <w:tcW w:w="0" w:type="auto"/>
          </w:tcPr>
          <w:p w14:paraId="455DFB8A" w14:textId="77777777" w:rsidR="00A61086" w:rsidRDefault="00FF17C4">
            <w:pPr>
              <w:pStyle w:val="Compact"/>
            </w:pPr>
            <w:r>
              <w:t>Shelby St.</w:t>
            </w:r>
          </w:p>
        </w:tc>
        <w:tc>
          <w:tcPr>
            <w:tcW w:w="0" w:type="auto"/>
          </w:tcPr>
          <w:p w14:paraId="4187B852" w14:textId="77777777" w:rsidR="00A61086" w:rsidRDefault="00FF17C4">
            <w:pPr>
              <w:pStyle w:val="Compact"/>
            </w:pPr>
            <w:r>
              <w:t>26</w:t>
            </w:r>
          </w:p>
        </w:tc>
        <w:tc>
          <w:tcPr>
            <w:tcW w:w="0" w:type="auto"/>
          </w:tcPr>
          <w:p w14:paraId="0EB6FDCE" w14:textId="77777777" w:rsidR="00A61086" w:rsidRDefault="00FF17C4">
            <w:pPr>
              <w:pStyle w:val="Compact"/>
            </w:pPr>
            <w:r>
              <w:t>6</w:t>
            </w:r>
          </w:p>
        </w:tc>
        <w:tc>
          <w:tcPr>
            <w:tcW w:w="0" w:type="auto"/>
          </w:tcPr>
          <w:p w14:paraId="1D337D6A" w14:textId="77777777" w:rsidR="00A61086" w:rsidRDefault="00FF17C4">
            <w:pPr>
              <w:pStyle w:val="Compact"/>
            </w:pPr>
            <w:r>
              <w:t>4</w:t>
            </w:r>
          </w:p>
        </w:tc>
        <w:tc>
          <w:tcPr>
            <w:tcW w:w="0" w:type="auto"/>
          </w:tcPr>
          <w:p w14:paraId="5B5EFA1D" w14:textId="77777777" w:rsidR="00A61086" w:rsidRDefault="00FF17C4">
            <w:pPr>
              <w:pStyle w:val="Compact"/>
            </w:pPr>
            <w:r>
              <w:t>40-45</w:t>
            </w:r>
          </w:p>
        </w:tc>
        <w:tc>
          <w:tcPr>
            <w:tcW w:w="0" w:type="auto"/>
          </w:tcPr>
          <w:p w14:paraId="65AE039F" w14:textId="77777777" w:rsidR="00A61086" w:rsidRDefault="00FF17C4">
            <w:pPr>
              <w:pStyle w:val="Compact"/>
            </w:pPr>
            <w:r>
              <w:t>65-70</w:t>
            </w:r>
          </w:p>
        </w:tc>
        <w:tc>
          <w:tcPr>
            <w:tcW w:w="0" w:type="auto"/>
          </w:tcPr>
          <w:p w14:paraId="5FCDE9D7" w14:textId="77777777" w:rsidR="00A61086" w:rsidRDefault="00FF17C4">
            <w:pPr>
              <w:pStyle w:val="Compact"/>
            </w:pPr>
            <w:r>
              <w:t>60-65</w:t>
            </w:r>
          </w:p>
        </w:tc>
      </w:tr>
    </w:tbl>
    <w:p w14:paraId="40232F73" w14:textId="536F0B57" w:rsidR="00A61086" w:rsidRDefault="00FF17C4">
      <w:pPr>
        <w:pStyle w:val="FirstParagraph"/>
      </w:pPr>
      <w:bookmarkStart w:id="10" w:name="employment-number-comparison"/>
      <w:bookmarkEnd w:id="10"/>
      <w:r>
        <w:t>We also performed a series of t-tests in order to determine whether the average employment levels per block between the treatment and control corridors are statis</w:t>
      </w:r>
      <w:r w:rsidR="003469C2">
        <w:t>tically significantly different</w:t>
      </w:r>
      <w:r>
        <w:t>. The Meridian</w:t>
      </w:r>
      <w:r w:rsidR="00A43D13">
        <w:t xml:space="preserve"> Street</w:t>
      </w:r>
      <w:r w:rsidR="003469C2">
        <w:t xml:space="preserve"> corridor mean ‘business’ </w:t>
      </w:r>
      <w:r>
        <w:t>and food employment per block is significantly different than the Virginia</w:t>
      </w:r>
      <w:r w:rsidR="00A43D13">
        <w:t xml:space="preserve"> Avenue</w:t>
      </w:r>
      <w:r>
        <w:t xml:space="preserve"> corridor blocks, according to our t-tests. Additionally, all </w:t>
      </w:r>
      <w:r w:rsidR="003469C2">
        <w:t>other</w:t>
      </w:r>
      <w:r>
        <w:t xml:space="preserve"> comparison corridors t-tests </w:t>
      </w:r>
      <w:r w:rsidR="003469C2">
        <w:t>returned</w:t>
      </w:r>
      <w:r>
        <w:t xml:space="preserve"> non-significant </w:t>
      </w:r>
      <w:r w:rsidR="00C375C8">
        <w:t xml:space="preserve">results, </w:t>
      </w:r>
      <w:r>
        <w:t xml:space="preserve">indicating </w:t>
      </w:r>
      <w:r w:rsidR="00C375C8">
        <w:t xml:space="preserve">that </w:t>
      </w:r>
      <w:r>
        <w:t xml:space="preserve">the corridors have a similar </w:t>
      </w:r>
      <w:r w:rsidR="00C375C8">
        <w:t xml:space="preserve">ratios </w:t>
      </w:r>
      <w:r>
        <w:t xml:space="preserve">of ‘business’ versus service jobs even </w:t>
      </w:r>
      <w:r w:rsidR="00C375C8">
        <w:t xml:space="preserve">though </w:t>
      </w:r>
      <w:r>
        <w:t xml:space="preserve">the overall number of jobs </w:t>
      </w:r>
      <w:r w:rsidR="00C375C8">
        <w:t>on each corridor is different</w:t>
      </w:r>
      <w:r>
        <w:t>.</w:t>
      </w:r>
      <w:r w:rsidR="003469C2">
        <w:t xml:space="preserve"> </w:t>
      </w:r>
      <w:r w:rsidR="001735FF">
        <w:t xml:space="preserve">Based on these statistical tests, it appears that </w:t>
      </w:r>
      <w:r w:rsidR="003469C2">
        <w:t xml:space="preserve">Prospect Street and Shelby Street are comparable and appropriate </w:t>
      </w:r>
      <w:r w:rsidR="001735FF">
        <w:t xml:space="preserve">control corridors </w:t>
      </w:r>
      <w:r w:rsidR="003469C2">
        <w:t xml:space="preserve">for the purposes of our analysis, while Meridian Street is less comparable to </w:t>
      </w:r>
      <w:r w:rsidR="00DC7DF3">
        <w:t xml:space="preserve">the </w:t>
      </w:r>
      <w:r w:rsidR="003469C2">
        <w:t>Virginia Avenue</w:t>
      </w:r>
      <w:r w:rsidR="00DC7DF3">
        <w:t xml:space="preserve"> corridor</w:t>
      </w:r>
      <w:r w:rsidR="003469C2">
        <w:t>.</w:t>
      </w:r>
    </w:p>
    <w:p w14:paraId="20E01789" w14:textId="57CE90EA" w:rsidR="00A61086" w:rsidRDefault="00FF17C4">
      <w:pPr>
        <w:pStyle w:val="Heading2"/>
      </w:pPr>
      <w:bookmarkStart w:id="11" w:name="mass-avenue"/>
      <w:bookmarkEnd w:id="11"/>
      <w:r>
        <w:lastRenderedPageBreak/>
        <w:t>Mass</w:t>
      </w:r>
      <w:r w:rsidR="00A43D13">
        <w:t>achusetts</w:t>
      </w:r>
      <w:r>
        <w:t xml:space="preserve"> Avenue</w:t>
      </w:r>
    </w:p>
    <w:p w14:paraId="4FF3A48E" w14:textId="77777777" w:rsidR="00A61086" w:rsidRDefault="00FF17C4">
      <w:r>
        <w:rPr>
          <w:noProof/>
          <w:lang w:eastAsia="zh-TW"/>
        </w:rPr>
        <w:drawing>
          <wp:inline distT="0" distB="0" distL="0" distR="0" wp14:anchorId="720106B8" wp14:editId="2C6BAF11">
            <wp:extent cx="5295569" cy="3888188"/>
            <wp:effectExtent l="0" t="0" r="635" b="0"/>
            <wp:docPr id="3" name="Picture" descr="Mass Avenue Corridor"/>
            <wp:cNvGraphicFramePr/>
            <a:graphic xmlns:a="http://schemas.openxmlformats.org/drawingml/2006/main">
              <a:graphicData uri="http://schemas.openxmlformats.org/drawingml/2006/picture">
                <pic:pic xmlns:pic="http://schemas.openxmlformats.org/drawingml/2006/picture">
                  <pic:nvPicPr>
                    <pic:cNvPr id="0" name="Picture" descr="images/indy_mass_corridors.png"/>
                    <pic:cNvPicPr>
                      <a:picLocks noChangeAspect="1" noChangeArrowheads="1"/>
                    </pic:cNvPicPr>
                  </pic:nvPicPr>
                  <pic:blipFill>
                    <a:blip r:embed="rId12"/>
                    <a:stretch>
                      <a:fillRect/>
                    </a:stretch>
                  </pic:blipFill>
                  <pic:spPr bwMode="auto">
                    <a:xfrm>
                      <a:off x="0" y="0"/>
                      <a:ext cx="5297434" cy="3889557"/>
                    </a:xfrm>
                    <a:prstGeom prst="rect">
                      <a:avLst/>
                    </a:prstGeom>
                    <a:noFill/>
                    <a:ln w="9525">
                      <a:noFill/>
                      <a:headEnd/>
                      <a:tailEnd/>
                    </a:ln>
                  </pic:spPr>
                </pic:pic>
              </a:graphicData>
            </a:graphic>
          </wp:inline>
        </w:drawing>
      </w:r>
    </w:p>
    <w:p w14:paraId="50FCC7DB" w14:textId="248EC93C" w:rsidR="00A61086" w:rsidRDefault="00F41A69" w:rsidP="00F41A69">
      <w:pPr>
        <w:pStyle w:val="Caption"/>
      </w:pPr>
      <w:r>
        <w:t xml:space="preserve">Figure </w:t>
      </w:r>
      <w:fldSimple w:instr=" STYLEREF 1 \s ">
        <w:r>
          <w:rPr>
            <w:noProof/>
          </w:rPr>
          <w:t>3</w:t>
        </w:r>
      </w:fldSimple>
      <w:r>
        <w:noBreakHyphen/>
      </w:r>
      <w:fldSimple w:instr=" SEQ Figure \* ARABIC \s 1 ">
        <w:r>
          <w:rPr>
            <w:noProof/>
          </w:rPr>
          <w:t>2</w:t>
        </w:r>
      </w:fldSimple>
      <w:r>
        <w:t xml:space="preserve">. </w:t>
      </w:r>
      <w:r w:rsidR="00FF17C4">
        <w:t>Mass</w:t>
      </w:r>
      <w:r w:rsidR="00A43D13">
        <w:t>achusetts</w:t>
      </w:r>
      <w:r w:rsidR="00FF17C4">
        <w:t xml:space="preserve"> Avenue Corridor</w:t>
      </w:r>
    </w:p>
    <w:p w14:paraId="0C8C0875" w14:textId="7AE31581" w:rsidR="00A61086" w:rsidRDefault="00FF17C4">
      <w:pPr>
        <w:pStyle w:val="BodyText"/>
      </w:pPr>
      <w:r>
        <w:t>The Massachusetts Avenue corridor had a separated bike lane installed in 2009</w:t>
      </w:r>
      <w:r w:rsidR="00EE4C23">
        <w:t xml:space="preserve">, along with the removal of </w:t>
      </w:r>
      <w:r>
        <w:t xml:space="preserve">one travel lane. The </w:t>
      </w:r>
      <w:r w:rsidR="00EE4C23">
        <w:t xml:space="preserve">proposed </w:t>
      </w:r>
      <w:r>
        <w:t xml:space="preserve">control corridor is </w:t>
      </w:r>
      <w:r w:rsidR="00BB5F3B">
        <w:t xml:space="preserve">another </w:t>
      </w:r>
      <w:r>
        <w:t xml:space="preserve">section </w:t>
      </w:r>
      <w:r w:rsidR="00BB5F3B">
        <w:t xml:space="preserve">of </w:t>
      </w:r>
      <w:r>
        <w:t>Mass</w:t>
      </w:r>
      <w:r w:rsidR="00A43D13">
        <w:t>achusetts</w:t>
      </w:r>
      <w:r>
        <w:t xml:space="preserve"> Ave</w:t>
      </w:r>
      <w:r w:rsidR="00A43D13">
        <w:t>nue</w:t>
      </w:r>
      <w:r>
        <w:t xml:space="preserve"> </w:t>
      </w:r>
      <w:r w:rsidR="00BB5F3B">
        <w:t xml:space="preserve">that did not experience </w:t>
      </w:r>
      <w:r>
        <w:t xml:space="preserve">any </w:t>
      </w:r>
      <w:r w:rsidR="00BB5F3B">
        <w:t xml:space="preserve">street </w:t>
      </w:r>
      <w:r>
        <w:t>improvement</w:t>
      </w:r>
      <w:r w:rsidR="00BB5F3B">
        <w:t>s</w:t>
      </w:r>
      <w:r>
        <w:t>.</w:t>
      </w:r>
    </w:p>
    <w:p w14:paraId="732D398E" w14:textId="68B7EBE8" w:rsidR="00A61086" w:rsidRDefault="00FF17C4">
      <w:pPr>
        <w:pStyle w:val="FirstParagraph"/>
      </w:pPr>
      <w:bookmarkStart w:id="12" w:name="corridor-employment-amount-1"/>
      <w:bookmarkEnd w:id="12"/>
      <w:r>
        <w:t xml:space="preserve">The treatment and control corridors have similar </w:t>
      </w:r>
      <w:r w:rsidR="00FC2E32">
        <w:t xml:space="preserve">levels </w:t>
      </w:r>
      <w:r>
        <w:t xml:space="preserve">of employment before the street improvement. The total employment is around 50-55 percentile for </w:t>
      </w:r>
      <w:r w:rsidR="00561D51">
        <w:t xml:space="preserve">the </w:t>
      </w:r>
      <w:r>
        <w:t xml:space="preserve">treatment corridor, and 60-65 percentile for </w:t>
      </w:r>
      <w:r w:rsidR="00561D51">
        <w:t xml:space="preserve">the </w:t>
      </w:r>
      <w:r>
        <w:t xml:space="preserve">control corridor. </w:t>
      </w:r>
      <w:r w:rsidR="001A14B3">
        <w:t xml:space="preserve">Both corridors </w:t>
      </w:r>
      <w:r>
        <w:t xml:space="preserve">have </w:t>
      </w:r>
      <w:r w:rsidR="001A14B3">
        <w:t xml:space="preserve">relatively fewer </w:t>
      </w:r>
      <w:r>
        <w:t xml:space="preserve">retail </w:t>
      </w:r>
      <w:r w:rsidR="001A14B3">
        <w:t>jobs compared to food services jobs</w:t>
      </w:r>
      <w:r>
        <w:t>.</w:t>
      </w:r>
    </w:p>
    <w:p w14:paraId="2906009C" w14:textId="7C9F2BE4" w:rsidR="00F41A69" w:rsidRPr="00F41A69" w:rsidRDefault="00F41A69" w:rsidP="00F41A69">
      <w:pPr>
        <w:pStyle w:val="Caption"/>
      </w:pPr>
      <w:r>
        <w:t xml:space="preserve">Table </w:t>
      </w:r>
      <w:fldSimple w:instr=" STYLEREF 1 \s ">
        <w:r>
          <w:rPr>
            <w:noProof/>
          </w:rPr>
          <w:t>3</w:t>
        </w:r>
      </w:fldSimple>
      <w:r>
        <w:noBreakHyphen/>
      </w:r>
      <w:fldSimple w:instr=" SEQ Table \* ARABIC \s 1 ">
        <w:r>
          <w:rPr>
            <w:noProof/>
          </w:rPr>
          <w:t>2</w:t>
        </w:r>
      </w:fldSimple>
      <w:r>
        <w:t>. Mass</w:t>
      </w:r>
      <w:r w:rsidR="00A43D13">
        <w:t>achusetts</w:t>
      </w:r>
      <w:r>
        <w:t xml:space="preserve"> Avenue Corridor and Control Corridor Employment Percentiles</w:t>
      </w:r>
    </w:p>
    <w:tbl>
      <w:tblPr>
        <w:tblW w:w="5000" w:type="pct"/>
        <w:tblLook w:val="07E0" w:firstRow="1" w:lastRow="1" w:firstColumn="1" w:lastColumn="1" w:noHBand="1" w:noVBand="1"/>
      </w:tblPr>
      <w:tblGrid>
        <w:gridCol w:w="2876"/>
        <w:gridCol w:w="1071"/>
        <w:gridCol w:w="1162"/>
        <w:gridCol w:w="1047"/>
        <w:gridCol w:w="1068"/>
        <w:gridCol w:w="1068"/>
        <w:gridCol w:w="1068"/>
      </w:tblGrid>
      <w:tr w:rsidR="00F14DA5" w14:paraId="4DD07DE9" w14:textId="77777777" w:rsidTr="00F14DA5">
        <w:tc>
          <w:tcPr>
            <w:tcW w:w="0" w:type="auto"/>
            <w:tcBorders>
              <w:bottom w:val="single" w:sz="4" w:space="0" w:color="FFFFFF"/>
            </w:tcBorders>
            <w:vAlign w:val="bottom"/>
          </w:tcPr>
          <w:p w14:paraId="66523C9B" w14:textId="77777777" w:rsidR="00F14DA5" w:rsidRDefault="00F14DA5">
            <w:pPr>
              <w:pStyle w:val="Compact"/>
            </w:pPr>
          </w:p>
        </w:tc>
        <w:tc>
          <w:tcPr>
            <w:tcW w:w="0" w:type="auto"/>
            <w:gridSpan w:val="3"/>
            <w:tcBorders>
              <w:bottom w:val="single" w:sz="4" w:space="0" w:color="FFFFFF"/>
            </w:tcBorders>
            <w:vAlign w:val="bottom"/>
          </w:tcPr>
          <w:p w14:paraId="7BEC01A3" w14:textId="48F6F1A7" w:rsidR="00F14DA5" w:rsidRDefault="00F14DA5" w:rsidP="00F14DA5">
            <w:pPr>
              <w:pStyle w:val="Compact"/>
              <w:jc w:val="center"/>
            </w:pPr>
            <w:r>
              <w:t>Employment</w:t>
            </w:r>
            <w:r w:rsidR="00A43D13">
              <w:t xml:space="preserve"> per block</w:t>
            </w:r>
          </w:p>
        </w:tc>
        <w:tc>
          <w:tcPr>
            <w:tcW w:w="0" w:type="auto"/>
            <w:gridSpan w:val="3"/>
            <w:tcBorders>
              <w:bottom w:val="single" w:sz="4" w:space="0" w:color="FFFFFF"/>
            </w:tcBorders>
            <w:vAlign w:val="bottom"/>
          </w:tcPr>
          <w:p w14:paraId="2807C9AB" w14:textId="77777777" w:rsidR="00F14DA5" w:rsidRDefault="00F14DA5" w:rsidP="00F14DA5">
            <w:pPr>
              <w:pStyle w:val="Compact"/>
              <w:jc w:val="center"/>
            </w:pPr>
            <w:r>
              <w:t>Percentile</w:t>
            </w:r>
          </w:p>
        </w:tc>
      </w:tr>
      <w:tr w:rsidR="00F14DA5" w14:paraId="61BB9C1D" w14:textId="77777777" w:rsidTr="00F14DA5">
        <w:tc>
          <w:tcPr>
            <w:tcW w:w="0" w:type="auto"/>
            <w:tcBorders>
              <w:top w:val="single" w:sz="4" w:space="0" w:color="FFFFFF"/>
              <w:bottom w:val="single" w:sz="0" w:space="0" w:color="auto"/>
            </w:tcBorders>
            <w:vAlign w:val="bottom"/>
          </w:tcPr>
          <w:p w14:paraId="527B36D9" w14:textId="77777777" w:rsidR="00F14DA5" w:rsidRDefault="00F14DA5" w:rsidP="00F14DA5">
            <w:pPr>
              <w:pStyle w:val="Compact"/>
            </w:pPr>
            <w:r>
              <w:t>Corridor</w:t>
            </w:r>
          </w:p>
        </w:tc>
        <w:tc>
          <w:tcPr>
            <w:tcW w:w="0" w:type="auto"/>
            <w:tcBorders>
              <w:top w:val="single" w:sz="4" w:space="0" w:color="FFFFFF"/>
              <w:bottom w:val="single" w:sz="0" w:space="0" w:color="auto"/>
            </w:tcBorders>
            <w:vAlign w:val="bottom"/>
          </w:tcPr>
          <w:p w14:paraId="5BF40F8D" w14:textId="77777777" w:rsidR="00F14DA5" w:rsidRDefault="00F14DA5" w:rsidP="00F14DA5">
            <w:pPr>
              <w:pStyle w:val="Compact"/>
            </w:pPr>
            <w:r>
              <w:t>Total</w:t>
            </w:r>
          </w:p>
        </w:tc>
        <w:tc>
          <w:tcPr>
            <w:tcW w:w="0" w:type="auto"/>
            <w:tcBorders>
              <w:top w:val="single" w:sz="4" w:space="0" w:color="FFFFFF"/>
              <w:bottom w:val="single" w:sz="0" w:space="0" w:color="auto"/>
            </w:tcBorders>
            <w:vAlign w:val="bottom"/>
          </w:tcPr>
          <w:p w14:paraId="3D058391" w14:textId="77777777" w:rsidR="00F14DA5" w:rsidRDefault="00F14DA5" w:rsidP="00F14DA5">
            <w:pPr>
              <w:pStyle w:val="Compact"/>
            </w:pPr>
            <w:r>
              <w:t>Retail</w:t>
            </w:r>
          </w:p>
        </w:tc>
        <w:tc>
          <w:tcPr>
            <w:tcW w:w="0" w:type="auto"/>
            <w:tcBorders>
              <w:top w:val="single" w:sz="4" w:space="0" w:color="FFFFFF"/>
              <w:bottom w:val="single" w:sz="0" w:space="0" w:color="auto"/>
            </w:tcBorders>
            <w:vAlign w:val="bottom"/>
          </w:tcPr>
          <w:p w14:paraId="1795285F" w14:textId="77777777" w:rsidR="00F14DA5" w:rsidRDefault="00F14DA5" w:rsidP="00F14DA5">
            <w:pPr>
              <w:pStyle w:val="Compact"/>
            </w:pPr>
            <w:r>
              <w:t>Food</w:t>
            </w:r>
          </w:p>
        </w:tc>
        <w:tc>
          <w:tcPr>
            <w:tcW w:w="0" w:type="auto"/>
            <w:tcBorders>
              <w:top w:val="single" w:sz="4" w:space="0" w:color="FFFFFF"/>
              <w:bottom w:val="single" w:sz="0" w:space="0" w:color="auto"/>
            </w:tcBorders>
            <w:vAlign w:val="bottom"/>
          </w:tcPr>
          <w:p w14:paraId="503A7E0E" w14:textId="77777777" w:rsidR="00F14DA5" w:rsidRDefault="00F14DA5" w:rsidP="00F14DA5">
            <w:pPr>
              <w:pStyle w:val="Compact"/>
            </w:pPr>
            <w:r>
              <w:t>Total</w:t>
            </w:r>
          </w:p>
        </w:tc>
        <w:tc>
          <w:tcPr>
            <w:tcW w:w="0" w:type="auto"/>
            <w:tcBorders>
              <w:top w:val="single" w:sz="4" w:space="0" w:color="FFFFFF"/>
              <w:bottom w:val="single" w:sz="0" w:space="0" w:color="auto"/>
            </w:tcBorders>
            <w:vAlign w:val="bottom"/>
          </w:tcPr>
          <w:p w14:paraId="6F02CC1B" w14:textId="77777777" w:rsidR="00F14DA5" w:rsidRDefault="00F14DA5" w:rsidP="00F14DA5">
            <w:pPr>
              <w:pStyle w:val="Compact"/>
            </w:pPr>
            <w:r>
              <w:t>Retail</w:t>
            </w:r>
          </w:p>
        </w:tc>
        <w:tc>
          <w:tcPr>
            <w:tcW w:w="0" w:type="auto"/>
            <w:tcBorders>
              <w:top w:val="single" w:sz="4" w:space="0" w:color="FFFFFF"/>
              <w:bottom w:val="single" w:sz="0" w:space="0" w:color="auto"/>
            </w:tcBorders>
            <w:vAlign w:val="bottom"/>
          </w:tcPr>
          <w:p w14:paraId="595D0CA9" w14:textId="77777777" w:rsidR="00F14DA5" w:rsidRDefault="00F14DA5" w:rsidP="00F14DA5">
            <w:pPr>
              <w:pStyle w:val="Compact"/>
            </w:pPr>
            <w:r>
              <w:t>Food</w:t>
            </w:r>
          </w:p>
        </w:tc>
      </w:tr>
      <w:tr w:rsidR="00A61086" w14:paraId="5E7B2B1E" w14:textId="77777777" w:rsidTr="00F14DA5">
        <w:tc>
          <w:tcPr>
            <w:tcW w:w="0" w:type="auto"/>
          </w:tcPr>
          <w:p w14:paraId="7560F3E0" w14:textId="77777777" w:rsidR="00A61086" w:rsidRDefault="00FF17C4">
            <w:pPr>
              <w:pStyle w:val="Compact"/>
            </w:pPr>
            <w:r>
              <w:t>Mass Ave.</w:t>
            </w:r>
          </w:p>
        </w:tc>
        <w:tc>
          <w:tcPr>
            <w:tcW w:w="0" w:type="auto"/>
          </w:tcPr>
          <w:p w14:paraId="2378D56F" w14:textId="77777777" w:rsidR="00A61086" w:rsidRDefault="00FF17C4">
            <w:pPr>
              <w:pStyle w:val="Compact"/>
            </w:pPr>
            <w:r>
              <w:t>44</w:t>
            </w:r>
          </w:p>
        </w:tc>
        <w:tc>
          <w:tcPr>
            <w:tcW w:w="0" w:type="auto"/>
          </w:tcPr>
          <w:p w14:paraId="6DA0BCF1" w14:textId="77777777" w:rsidR="00A61086" w:rsidRDefault="00FF17C4">
            <w:pPr>
              <w:pStyle w:val="Compact"/>
            </w:pPr>
            <w:r>
              <w:t>1</w:t>
            </w:r>
          </w:p>
        </w:tc>
        <w:tc>
          <w:tcPr>
            <w:tcW w:w="0" w:type="auto"/>
          </w:tcPr>
          <w:p w14:paraId="4A7D5D8A" w14:textId="77777777" w:rsidR="00A61086" w:rsidRDefault="00FF17C4">
            <w:pPr>
              <w:pStyle w:val="Compact"/>
            </w:pPr>
            <w:r>
              <w:t>17</w:t>
            </w:r>
          </w:p>
        </w:tc>
        <w:tc>
          <w:tcPr>
            <w:tcW w:w="0" w:type="auto"/>
          </w:tcPr>
          <w:p w14:paraId="467A57DD" w14:textId="77777777" w:rsidR="00A61086" w:rsidRDefault="00FF17C4">
            <w:pPr>
              <w:pStyle w:val="Compact"/>
            </w:pPr>
            <w:r>
              <w:t>50-55</w:t>
            </w:r>
          </w:p>
        </w:tc>
        <w:tc>
          <w:tcPr>
            <w:tcW w:w="0" w:type="auto"/>
          </w:tcPr>
          <w:p w14:paraId="5E89A63B" w14:textId="77777777" w:rsidR="00A61086" w:rsidRDefault="00FF17C4">
            <w:pPr>
              <w:pStyle w:val="Compact"/>
            </w:pPr>
            <w:r>
              <w:t>40-45</w:t>
            </w:r>
          </w:p>
        </w:tc>
        <w:tc>
          <w:tcPr>
            <w:tcW w:w="0" w:type="auto"/>
          </w:tcPr>
          <w:p w14:paraId="61BB0351" w14:textId="77777777" w:rsidR="00A61086" w:rsidRDefault="00FF17C4">
            <w:pPr>
              <w:pStyle w:val="Compact"/>
            </w:pPr>
            <w:r>
              <w:t>75-80</w:t>
            </w:r>
          </w:p>
        </w:tc>
      </w:tr>
      <w:tr w:rsidR="00A61086" w14:paraId="00DDAB88" w14:textId="77777777" w:rsidTr="00F14DA5">
        <w:tc>
          <w:tcPr>
            <w:tcW w:w="0" w:type="auto"/>
          </w:tcPr>
          <w:p w14:paraId="3631FEEE" w14:textId="54BFA6A7" w:rsidR="00A61086" w:rsidRDefault="00FF17C4">
            <w:pPr>
              <w:pStyle w:val="Compact"/>
            </w:pPr>
            <w:r>
              <w:t>Mass Ave.</w:t>
            </w:r>
            <w:r w:rsidR="00CE5934">
              <w:t xml:space="preserve"> </w:t>
            </w:r>
            <w:r>
              <w:t>(Control)</w:t>
            </w:r>
          </w:p>
        </w:tc>
        <w:tc>
          <w:tcPr>
            <w:tcW w:w="0" w:type="auto"/>
          </w:tcPr>
          <w:p w14:paraId="370DD2EB" w14:textId="77777777" w:rsidR="00A61086" w:rsidRDefault="00FF17C4">
            <w:pPr>
              <w:pStyle w:val="Compact"/>
            </w:pPr>
            <w:r>
              <w:t>73</w:t>
            </w:r>
          </w:p>
        </w:tc>
        <w:tc>
          <w:tcPr>
            <w:tcW w:w="0" w:type="auto"/>
          </w:tcPr>
          <w:p w14:paraId="28614EC6" w14:textId="77777777" w:rsidR="00A61086" w:rsidRDefault="00FF17C4">
            <w:pPr>
              <w:pStyle w:val="Compact"/>
            </w:pPr>
            <w:r>
              <w:t>2</w:t>
            </w:r>
          </w:p>
        </w:tc>
        <w:tc>
          <w:tcPr>
            <w:tcW w:w="0" w:type="auto"/>
          </w:tcPr>
          <w:p w14:paraId="3817CDC2" w14:textId="77777777" w:rsidR="00A61086" w:rsidRDefault="00FF17C4">
            <w:pPr>
              <w:pStyle w:val="Compact"/>
            </w:pPr>
            <w:r>
              <w:t>24</w:t>
            </w:r>
          </w:p>
        </w:tc>
        <w:tc>
          <w:tcPr>
            <w:tcW w:w="0" w:type="auto"/>
          </w:tcPr>
          <w:p w14:paraId="043D5E6D" w14:textId="77777777" w:rsidR="00A61086" w:rsidRDefault="00FF17C4">
            <w:pPr>
              <w:pStyle w:val="Compact"/>
            </w:pPr>
            <w:r>
              <w:t>60-65</w:t>
            </w:r>
          </w:p>
        </w:tc>
        <w:tc>
          <w:tcPr>
            <w:tcW w:w="0" w:type="auto"/>
          </w:tcPr>
          <w:p w14:paraId="415C31FF" w14:textId="77777777" w:rsidR="00A61086" w:rsidRDefault="00FF17C4">
            <w:pPr>
              <w:pStyle w:val="Compact"/>
            </w:pPr>
            <w:r>
              <w:t>45-50</w:t>
            </w:r>
          </w:p>
        </w:tc>
        <w:tc>
          <w:tcPr>
            <w:tcW w:w="0" w:type="auto"/>
          </w:tcPr>
          <w:p w14:paraId="08F6D889" w14:textId="77777777" w:rsidR="00A61086" w:rsidRDefault="00FF17C4">
            <w:pPr>
              <w:pStyle w:val="Compact"/>
            </w:pPr>
            <w:r>
              <w:t>80-85</w:t>
            </w:r>
          </w:p>
        </w:tc>
      </w:tr>
    </w:tbl>
    <w:p w14:paraId="530A36E1" w14:textId="45D2B2BC" w:rsidR="00A61086" w:rsidRDefault="00CE5934">
      <w:pPr>
        <w:pStyle w:val="FirstParagraph"/>
      </w:pPr>
      <w:bookmarkStart w:id="13" w:name="employment-number-comparison-1"/>
      <w:bookmarkEnd w:id="13"/>
      <w:r>
        <w:t xml:space="preserve">Statistically testing indicates that </w:t>
      </w:r>
      <w:r w:rsidR="00FF17C4">
        <w:t xml:space="preserve">the two corridors are comparable in terms of business activity level and business/service structure. </w:t>
      </w:r>
      <w:r w:rsidR="003469C2">
        <w:t>All t-tests came back non-significant at the 0.05 level</w:t>
      </w:r>
      <w:r>
        <w:t>,</w:t>
      </w:r>
      <w:r w:rsidR="003469C2">
        <w:t xml:space="preserve"> meaning that the two corridors are appropriate comparators.</w:t>
      </w:r>
    </w:p>
    <w:p w14:paraId="49E8319A" w14:textId="77777777" w:rsidR="00A61086" w:rsidRDefault="00FF17C4">
      <w:pPr>
        <w:pStyle w:val="Heading2"/>
      </w:pPr>
      <w:bookmarkStart w:id="14" w:name="corridor-comparison-summary"/>
      <w:bookmarkEnd w:id="14"/>
      <w:r>
        <w:lastRenderedPageBreak/>
        <w:t>Corridor Comparison Summary</w:t>
      </w:r>
    </w:p>
    <w:p w14:paraId="6BC3BA68" w14:textId="756309BE" w:rsidR="00A61086" w:rsidRDefault="003469C2">
      <w:pPr>
        <w:pStyle w:val="FirstParagraph"/>
      </w:pPr>
      <w:r>
        <w:t>The following table shows a summary of the corridor comparison analysis for the two treatment</w:t>
      </w:r>
      <w:r w:rsidR="00C91A64">
        <w:t xml:space="preserve"> corridors</w:t>
      </w:r>
      <w:r>
        <w:t xml:space="preserve"> and their control corridor groups, with nine comparability indicators for each group. </w:t>
      </w:r>
      <w:r w:rsidR="00FF17C4">
        <w:t>The Prospect</w:t>
      </w:r>
      <w:r w:rsidR="003E57AE">
        <w:t xml:space="preserve"> Street</w:t>
      </w:r>
      <w:r w:rsidR="00FF17C4">
        <w:t xml:space="preserve"> and Shelby </w:t>
      </w:r>
      <w:r w:rsidR="003E57AE">
        <w:t xml:space="preserve">Street </w:t>
      </w:r>
      <w:r w:rsidR="00FF17C4">
        <w:t xml:space="preserve">corridors </w:t>
      </w:r>
      <w:r w:rsidR="00C623CB">
        <w:t>are</w:t>
      </w:r>
      <w:r w:rsidR="00FF17C4">
        <w:t xml:space="preserve"> appropriate comparators for Virginia Avenue in terms of </w:t>
      </w:r>
      <w:r w:rsidR="00541362">
        <w:t>transportation/geography</w:t>
      </w:r>
      <w:r w:rsidR="00FF17C4">
        <w:t xml:space="preserve"> comparisons and </w:t>
      </w:r>
      <w:r>
        <w:t xml:space="preserve">business activity </w:t>
      </w:r>
      <w:r w:rsidR="00FF17C4">
        <w:t xml:space="preserve">t-test </w:t>
      </w:r>
      <w:r>
        <w:t>results</w:t>
      </w:r>
      <w:r w:rsidR="00FF17C4">
        <w:t>. While the Mass</w:t>
      </w:r>
      <w:r w:rsidR="00A43D13">
        <w:t>achusetts</w:t>
      </w:r>
      <w:r w:rsidR="00FF17C4">
        <w:t xml:space="preserve"> Ave</w:t>
      </w:r>
      <w:r w:rsidR="00A43D13">
        <w:t>nue</w:t>
      </w:r>
      <w:r w:rsidR="00FF17C4">
        <w:t xml:space="preserve"> corridors are technically comparable</w:t>
      </w:r>
      <w:r>
        <w:t>,</w:t>
      </w:r>
      <w:r w:rsidR="00FF17C4">
        <w:t xml:space="preserve"> because they are two legs of the same length of street they will not be suitable for </w:t>
      </w:r>
      <w:r>
        <w:t xml:space="preserve">DID analysis, which </w:t>
      </w:r>
      <w:r w:rsidR="00C623CB">
        <w:t xml:space="preserve">has </w:t>
      </w:r>
      <w:r>
        <w:t xml:space="preserve">requires </w:t>
      </w:r>
      <w:r w:rsidR="00C623CB">
        <w:t xml:space="preserve">an assumption of </w:t>
      </w:r>
      <w:r>
        <w:t>independence</w:t>
      </w:r>
      <w:r w:rsidR="00FF17C4">
        <w:t>.</w:t>
      </w:r>
    </w:p>
    <w:p w14:paraId="4ED32356" w14:textId="77777777" w:rsidR="00F41A69" w:rsidRPr="00F41A69" w:rsidRDefault="00F41A69" w:rsidP="00F41A69">
      <w:pPr>
        <w:pStyle w:val="Caption"/>
      </w:pPr>
      <w:r>
        <w:t xml:space="preserve">Table </w:t>
      </w:r>
      <w:fldSimple w:instr=" STYLEREF 1 \s ">
        <w:r>
          <w:rPr>
            <w:noProof/>
          </w:rPr>
          <w:t>3</w:t>
        </w:r>
      </w:fldSimple>
      <w:r>
        <w:noBreakHyphen/>
      </w:r>
      <w:fldSimple w:instr=" SEQ Table \* ARABIC \s 1 ">
        <w:r>
          <w:rPr>
            <w:noProof/>
          </w:rPr>
          <w:t>3</w:t>
        </w:r>
      </w:fldSimple>
      <w:r>
        <w:t>. Corridor Comparison Summary</w:t>
      </w:r>
    </w:p>
    <w:tbl>
      <w:tblPr>
        <w:tblW w:w="8945" w:type="dxa"/>
        <w:tblInd w:w="113" w:type="dxa"/>
        <w:tblLook w:val="04A0" w:firstRow="1" w:lastRow="0" w:firstColumn="1" w:lastColumn="0" w:noHBand="0" w:noVBand="1"/>
      </w:tblPr>
      <w:tblGrid>
        <w:gridCol w:w="1759"/>
        <w:gridCol w:w="1314"/>
        <w:gridCol w:w="1117"/>
        <w:gridCol w:w="1003"/>
        <w:gridCol w:w="1246"/>
        <w:gridCol w:w="954"/>
        <w:gridCol w:w="1552"/>
      </w:tblGrid>
      <w:tr w:rsidR="008A0466" w:rsidRPr="00EA7806" w14:paraId="0F59AC79" w14:textId="77777777" w:rsidTr="008A0466">
        <w:trPr>
          <w:trHeight w:val="399"/>
        </w:trPr>
        <w:tc>
          <w:tcPr>
            <w:tcW w:w="1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F8851" w14:textId="3C61BFFF" w:rsidR="008A0466" w:rsidRPr="008A0466" w:rsidRDefault="008A0466" w:rsidP="00EA7806">
            <w:pPr>
              <w:spacing w:after="0"/>
              <w:rPr>
                <w:rFonts w:eastAsia="Times New Roman" w:cs="Calibri"/>
                <w:b/>
                <w:color w:val="000000"/>
                <w:sz w:val="20"/>
                <w:szCs w:val="20"/>
              </w:rPr>
            </w:pPr>
            <w:r w:rsidRPr="008A0466">
              <w:rPr>
                <w:rFonts w:eastAsia="Times New Roman" w:cs="Calibri"/>
                <w:b/>
                <w:color w:val="000000"/>
                <w:sz w:val="20"/>
                <w:szCs w:val="20"/>
              </w:rPr>
              <w:t>Treatment Corridor</w:t>
            </w:r>
          </w:p>
        </w:tc>
        <w:tc>
          <w:tcPr>
            <w:tcW w:w="2369" w:type="dxa"/>
            <w:gridSpan w:val="2"/>
            <w:vMerge w:val="restart"/>
            <w:tcBorders>
              <w:top w:val="single" w:sz="4" w:space="0" w:color="auto"/>
              <w:left w:val="nil"/>
              <w:right w:val="single" w:sz="4" w:space="0" w:color="000000"/>
            </w:tcBorders>
            <w:shd w:val="clear" w:color="auto" w:fill="auto"/>
            <w:vAlign w:val="center"/>
            <w:hideMark/>
          </w:tcPr>
          <w:p w14:paraId="7149C8C2" w14:textId="77777777" w:rsidR="008A0466" w:rsidRPr="008A0466" w:rsidRDefault="008A0466" w:rsidP="00EA7806">
            <w:pPr>
              <w:spacing w:after="0"/>
              <w:jc w:val="center"/>
              <w:rPr>
                <w:rFonts w:eastAsia="Times New Roman" w:cs="Calibri"/>
                <w:b/>
                <w:color w:val="000000"/>
                <w:sz w:val="20"/>
                <w:szCs w:val="20"/>
              </w:rPr>
            </w:pPr>
            <w:r w:rsidRPr="008A0466">
              <w:rPr>
                <w:rFonts w:eastAsia="Times New Roman" w:cs="Calibri"/>
                <w:b/>
                <w:color w:val="000000"/>
                <w:sz w:val="20"/>
                <w:szCs w:val="20"/>
              </w:rPr>
              <w:t>Indicator</w:t>
            </w:r>
          </w:p>
          <w:p w14:paraId="2A1D3862" w14:textId="36A7B609" w:rsidR="008A0466" w:rsidRPr="008A0466" w:rsidRDefault="008A0466" w:rsidP="00EA7806">
            <w:pPr>
              <w:spacing w:after="0"/>
              <w:rPr>
                <w:rFonts w:eastAsia="Times New Roman" w:cs="Calibri"/>
                <w:b/>
                <w:color w:val="000000"/>
                <w:sz w:val="20"/>
                <w:szCs w:val="20"/>
              </w:rPr>
            </w:pPr>
            <w:r w:rsidRPr="008A0466">
              <w:rPr>
                <w:rFonts w:eastAsia="Times New Roman" w:cs="Calibri"/>
                <w:color w:val="000000"/>
                <w:sz w:val="20"/>
                <w:szCs w:val="20"/>
              </w:rPr>
              <w:t> </w:t>
            </w:r>
          </w:p>
        </w:tc>
        <w:tc>
          <w:tcPr>
            <w:tcW w:w="320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E08E0D7" w14:textId="77777777" w:rsidR="008A0466" w:rsidRPr="008A0466" w:rsidRDefault="008A0466" w:rsidP="00AD0899">
            <w:pPr>
              <w:spacing w:after="0"/>
              <w:jc w:val="center"/>
              <w:rPr>
                <w:rFonts w:eastAsia="Times New Roman" w:cs="Calibri"/>
                <w:b/>
                <w:color w:val="000000"/>
                <w:sz w:val="20"/>
                <w:szCs w:val="20"/>
              </w:rPr>
            </w:pPr>
            <w:r w:rsidRPr="008A0466">
              <w:rPr>
                <w:rFonts w:eastAsia="Times New Roman" w:cs="Calibri"/>
                <w:b/>
                <w:color w:val="000000"/>
                <w:sz w:val="20"/>
                <w:szCs w:val="20"/>
              </w:rPr>
              <w:t>Virginia</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75A67EC1" w14:textId="2DE67F32" w:rsidR="008A0466" w:rsidRPr="008A0466" w:rsidRDefault="008A0466" w:rsidP="00AD0899">
            <w:pPr>
              <w:spacing w:after="0"/>
              <w:jc w:val="center"/>
              <w:rPr>
                <w:rFonts w:eastAsia="Times New Roman" w:cs="Calibri"/>
                <w:b/>
                <w:color w:val="000000"/>
                <w:sz w:val="20"/>
                <w:szCs w:val="20"/>
              </w:rPr>
            </w:pPr>
            <w:r w:rsidRPr="008A0466">
              <w:rPr>
                <w:rFonts w:eastAsia="Times New Roman" w:cs="Calibri"/>
                <w:b/>
                <w:color w:val="000000"/>
                <w:sz w:val="20"/>
                <w:szCs w:val="20"/>
              </w:rPr>
              <w:t>Massachusetts</w:t>
            </w:r>
          </w:p>
        </w:tc>
      </w:tr>
      <w:tr w:rsidR="008A0466" w:rsidRPr="00EA7806" w14:paraId="0820DD35" w14:textId="77777777" w:rsidTr="008A0466">
        <w:trPr>
          <w:trHeight w:val="36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E3A6942" w14:textId="77777777" w:rsidR="008A0466" w:rsidRPr="008A0466" w:rsidRDefault="008A0466" w:rsidP="00EA7806">
            <w:pPr>
              <w:spacing w:after="0"/>
              <w:rPr>
                <w:rFonts w:eastAsia="Times New Roman" w:cs="Calibri"/>
                <w:color w:val="000000"/>
                <w:sz w:val="20"/>
                <w:szCs w:val="20"/>
              </w:rPr>
            </w:pPr>
            <w:r w:rsidRPr="008A0466">
              <w:rPr>
                <w:rFonts w:eastAsia="Times New Roman" w:cs="Calibri"/>
                <w:color w:val="000000"/>
                <w:sz w:val="20"/>
                <w:szCs w:val="20"/>
              </w:rPr>
              <w:t>Control Corridor</w:t>
            </w:r>
          </w:p>
        </w:tc>
        <w:tc>
          <w:tcPr>
            <w:tcW w:w="2369" w:type="dxa"/>
            <w:gridSpan w:val="2"/>
            <w:vMerge/>
            <w:tcBorders>
              <w:left w:val="nil"/>
              <w:bottom w:val="single" w:sz="4" w:space="0" w:color="auto"/>
              <w:right w:val="single" w:sz="4" w:space="0" w:color="000000"/>
            </w:tcBorders>
            <w:shd w:val="clear" w:color="auto" w:fill="auto"/>
            <w:vAlign w:val="center"/>
            <w:hideMark/>
          </w:tcPr>
          <w:p w14:paraId="21E4F7DF" w14:textId="7587AECC" w:rsidR="008A0466" w:rsidRPr="008A0466" w:rsidRDefault="008A0466" w:rsidP="00EA7806">
            <w:pPr>
              <w:spacing w:after="0"/>
              <w:rPr>
                <w:rFonts w:eastAsia="Times New Roman" w:cs="Calibri"/>
                <w:color w:val="000000"/>
                <w:sz w:val="20"/>
                <w:szCs w:val="20"/>
              </w:rPr>
            </w:pPr>
          </w:p>
        </w:tc>
        <w:tc>
          <w:tcPr>
            <w:tcW w:w="1003" w:type="dxa"/>
            <w:tcBorders>
              <w:top w:val="nil"/>
              <w:left w:val="nil"/>
              <w:bottom w:val="single" w:sz="4" w:space="0" w:color="auto"/>
              <w:right w:val="single" w:sz="4" w:space="0" w:color="auto"/>
            </w:tcBorders>
            <w:shd w:val="clear" w:color="auto" w:fill="auto"/>
            <w:noWrap/>
            <w:vAlign w:val="center"/>
            <w:hideMark/>
          </w:tcPr>
          <w:p w14:paraId="6805F941" w14:textId="77777777" w:rsidR="008A0466" w:rsidRPr="008A0466" w:rsidRDefault="008A0466" w:rsidP="00AD0899">
            <w:pPr>
              <w:spacing w:after="0"/>
              <w:jc w:val="center"/>
              <w:rPr>
                <w:rFonts w:eastAsia="Times New Roman" w:cs="Calibri"/>
                <w:color w:val="000000"/>
                <w:sz w:val="20"/>
                <w:szCs w:val="20"/>
              </w:rPr>
            </w:pPr>
            <w:r w:rsidRPr="008A0466">
              <w:rPr>
                <w:rFonts w:eastAsia="Times New Roman" w:cs="Calibri"/>
                <w:color w:val="000000"/>
                <w:sz w:val="20"/>
                <w:szCs w:val="20"/>
              </w:rPr>
              <w:t>Meridian</w:t>
            </w:r>
          </w:p>
        </w:tc>
        <w:tc>
          <w:tcPr>
            <w:tcW w:w="1246" w:type="dxa"/>
            <w:tcBorders>
              <w:top w:val="nil"/>
              <w:left w:val="nil"/>
              <w:bottom w:val="single" w:sz="4" w:space="0" w:color="auto"/>
              <w:right w:val="single" w:sz="4" w:space="0" w:color="auto"/>
            </w:tcBorders>
            <w:shd w:val="clear" w:color="auto" w:fill="auto"/>
            <w:noWrap/>
            <w:vAlign w:val="center"/>
            <w:hideMark/>
          </w:tcPr>
          <w:p w14:paraId="48382B3F" w14:textId="77777777" w:rsidR="008A0466" w:rsidRPr="008A0466" w:rsidRDefault="008A0466" w:rsidP="00AD0899">
            <w:pPr>
              <w:spacing w:after="0"/>
              <w:jc w:val="center"/>
              <w:rPr>
                <w:rFonts w:eastAsia="Times New Roman" w:cs="Calibri"/>
                <w:color w:val="000000"/>
                <w:sz w:val="20"/>
                <w:szCs w:val="20"/>
              </w:rPr>
            </w:pPr>
            <w:r w:rsidRPr="008A0466">
              <w:rPr>
                <w:rFonts w:eastAsia="Times New Roman" w:cs="Calibri"/>
                <w:color w:val="000000"/>
                <w:sz w:val="20"/>
                <w:szCs w:val="20"/>
              </w:rPr>
              <w:t>Prospect</w:t>
            </w:r>
          </w:p>
        </w:tc>
        <w:tc>
          <w:tcPr>
            <w:tcW w:w="954" w:type="dxa"/>
            <w:tcBorders>
              <w:top w:val="nil"/>
              <w:left w:val="nil"/>
              <w:bottom w:val="single" w:sz="4" w:space="0" w:color="auto"/>
              <w:right w:val="single" w:sz="4" w:space="0" w:color="auto"/>
            </w:tcBorders>
            <w:shd w:val="clear" w:color="auto" w:fill="auto"/>
            <w:noWrap/>
            <w:vAlign w:val="center"/>
            <w:hideMark/>
          </w:tcPr>
          <w:p w14:paraId="2DDFFAA9" w14:textId="77777777" w:rsidR="008A0466" w:rsidRPr="008A0466" w:rsidRDefault="008A0466" w:rsidP="00AD0899">
            <w:pPr>
              <w:spacing w:after="0"/>
              <w:jc w:val="center"/>
              <w:rPr>
                <w:rFonts w:eastAsia="Times New Roman" w:cs="Calibri"/>
                <w:color w:val="000000"/>
                <w:sz w:val="20"/>
                <w:szCs w:val="20"/>
              </w:rPr>
            </w:pPr>
            <w:r w:rsidRPr="008A0466">
              <w:rPr>
                <w:rFonts w:eastAsia="Times New Roman" w:cs="Calibri"/>
                <w:color w:val="000000"/>
                <w:sz w:val="20"/>
                <w:szCs w:val="20"/>
              </w:rPr>
              <w:t>Shelby</w:t>
            </w:r>
          </w:p>
        </w:tc>
        <w:tc>
          <w:tcPr>
            <w:tcW w:w="1540" w:type="dxa"/>
            <w:tcBorders>
              <w:top w:val="nil"/>
              <w:left w:val="nil"/>
              <w:bottom w:val="single" w:sz="4" w:space="0" w:color="auto"/>
              <w:right w:val="single" w:sz="4" w:space="0" w:color="auto"/>
            </w:tcBorders>
            <w:shd w:val="clear" w:color="auto" w:fill="auto"/>
            <w:noWrap/>
            <w:vAlign w:val="center"/>
            <w:hideMark/>
          </w:tcPr>
          <w:p w14:paraId="049FF905" w14:textId="1D8CD595" w:rsidR="008A0466" w:rsidRPr="008A0466" w:rsidRDefault="008A0466" w:rsidP="00AD0899">
            <w:pPr>
              <w:spacing w:after="0"/>
              <w:jc w:val="center"/>
              <w:rPr>
                <w:rFonts w:eastAsia="Times New Roman" w:cs="Calibri"/>
                <w:color w:val="000000"/>
                <w:sz w:val="20"/>
                <w:szCs w:val="20"/>
              </w:rPr>
            </w:pPr>
            <w:r w:rsidRPr="008A0466">
              <w:rPr>
                <w:rFonts w:eastAsia="Times New Roman" w:cs="Calibri"/>
                <w:color w:val="000000"/>
                <w:sz w:val="20"/>
                <w:szCs w:val="20"/>
              </w:rPr>
              <w:t>Massachusetts</w:t>
            </w:r>
          </w:p>
        </w:tc>
      </w:tr>
      <w:tr w:rsidR="00EA7806" w:rsidRPr="00EA7806" w14:paraId="76633F4E" w14:textId="77777777" w:rsidTr="008A0466">
        <w:trPr>
          <w:trHeight w:val="399"/>
        </w:trPr>
        <w:tc>
          <w:tcPr>
            <w:tcW w:w="1833" w:type="dxa"/>
            <w:vMerge w:val="restart"/>
            <w:tcBorders>
              <w:top w:val="nil"/>
              <w:left w:val="single" w:sz="4" w:space="0" w:color="auto"/>
              <w:bottom w:val="single" w:sz="4" w:space="0" w:color="auto"/>
              <w:right w:val="single" w:sz="4" w:space="0" w:color="auto"/>
            </w:tcBorders>
            <w:shd w:val="clear" w:color="auto" w:fill="auto"/>
            <w:vAlign w:val="center"/>
            <w:hideMark/>
          </w:tcPr>
          <w:p w14:paraId="5DD0C74F" w14:textId="77777777" w:rsidR="00AD0899" w:rsidRPr="008A0466" w:rsidRDefault="00AD0899" w:rsidP="003469C2">
            <w:pPr>
              <w:spacing w:after="0"/>
              <w:rPr>
                <w:rFonts w:eastAsia="Times New Roman" w:cs="Calibri"/>
                <w:color w:val="000000"/>
                <w:sz w:val="20"/>
                <w:szCs w:val="20"/>
              </w:rPr>
            </w:pPr>
            <w:r w:rsidRPr="008A0466">
              <w:rPr>
                <w:rFonts w:eastAsia="Times New Roman" w:cs="Calibri"/>
                <w:color w:val="000000"/>
                <w:sz w:val="20"/>
                <w:szCs w:val="20"/>
              </w:rPr>
              <w:t>Transportation/</w:t>
            </w:r>
          </w:p>
          <w:p w14:paraId="6FD2EA0E" w14:textId="08B77D72" w:rsidR="00EA7806" w:rsidRPr="008A0466" w:rsidRDefault="00AD0899" w:rsidP="003469C2">
            <w:pPr>
              <w:spacing w:after="0"/>
              <w:rPr>
                <w:rFonts w:eastAsia="Times New Roman" w:cs="Calibri"/>
                <w:color w:val="000000"/>
                <w:sz w:val="20"/>
                <w:szCs w:val="20"/>
              </w:rPr>
            </w:pPr>
            <w:r w:rsidRPr="008A0466">
              <w:rPr>
                <w:rFonts w:eastAsia="Times New Roman" w:cs="Calibri"/>
                <w:color w:val="000000"/>
                <w:sz w:val="20"/>
                <w:szCs w:val="20"/>
              </w:rPr>
              <w:t>Geography</w:t>
            </w:r>
          </w:p>
        </w:tc>
        <w:tc>
          <w:tcPr>
            <w:tcW w:w="2369" w:type="dxa"/>
            <w:gridSpan w:val="2"/>
            <w:tcBorders>
              <w:top w:val="single" w:sz="4" w:space="0" w:color="auto"/>
              <w:left w:val="nil"/>
              <w:bottom w:val="single" w:sz="4" w:space="0" w:color="auto"/>
              <w:right w:val="single" w:sz="4" w:space="0" w:color="auto"/>
            </w:tcBorders>
            <w:shd w:val="clear" w:color="auto" w:fill="auto"/>
            <w:vAlign w:val="center"/>
            <w:hideMark/>
          </w:tcPr>
          <w:p w14:paraId="096A16F2" w14:textId="77777777" w:rsidR="00EA7806" w:rsidRPr="008A0466" w:rsidRDefault="00EA7806" w:rsidP="00EA7806">
            <w:pPr>
              <w:spacing w:after="0"/>
              <w:rPr>
                <w:rFonts w:eastAsia="Times New Roman" w:cs="Calibri"/>
                <w:color w:val="000000"/>
                <w:sz w:val="20"/>
                <w:szCs w:val="20"/>
              </w:rPr>
            </w:pPr>
            <w:r w:rsidRPr="008A0466">
              <w:rPr>
                <w:rFonts w:eastAsia="Times New Roman" w:cs="Calibri"/>
                <w:color w:val="000000"/>
                <w:sz w:val="20"/>
                <w:szCs w:val="20"/>
              </w:rPr>
              <w:t>Geographic Proximity</w:t>
            </w:r>
          </w:p>
        </w:tc>
        <w:tc>
          <w:tcPr>
            <w:tcW w:w="1003" w:type="dxa"/>
            <w:tcBorders>
              <w:top w:val="nil"/>
              <w:left w:val="nil"/>
              <w:bottom w:val="single" w:sz="4" w:space="0" w:color="auto"/>
              <w:right w:val="single" w:sz="4" w:space="0" w:color="auto"/>
            </w:tcBorders>
            <w:shd w:val="clear" w:color="auto" w:fill="auto"/>
            <w:noWrap/>
            <w:vAlign w:val="center"/>
            <w:hideMark/>
          </w:tcPr>
          <w:p w14:paraId="45FEFF21"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246" w:type="dxa"/>
            <w:tcBorders>
              <w:top w:val="nil"/>
              <w:left w:val="nil"/>
              <w:bottom w:val="single" w:sz="4" w:space="0" w:color="auto"/>
              <w:right w:val="single" w:sz="4" w:space="0" w:color="auto"/>
            </w:tcBorders>
            <w:shd w:val="clear" w:color="auto" w:fill="auto"/>
            <w:noWrap/>
            <w:vAlign w:val="center"/>
            <w:hideMark/>
          </w:tcPr>
          <w:p w14:paraId="628E7E30"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954" w:type="dxa"/>
            <w:tcBorders>
              <w:top w:val="nil"/>
              <w:left w:val="nil"/>
              <w:bottom w:val="single" w:sz="4" w:space="0" w:color="auto"/>
              <w:right w:val="single" w:sz="4" w:space="0" w:color="auto"/>
            </w:tcBorders>
            <w:shd w:val="clear" w:color="auto" w:fill="auto"/>
            <w:noWrap/>
            <w:vAlign w:val="center"/>
            <w:hideMark/>
          </w:tcPr>
          <w:p w14:paraId="0F8BD22E"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540" w:type="dxa"/>
            <w:tcBorders>
              <w:top w:val="nil"/>
              <w:left w:val="nil"/>
              <w:bottom w:val="single" w:sz="4" w:space="0" w:color="auto"/>
              <w:right w:val="single" w:sz="4" w:space="0" w:color="auto"/>
            </w:tcBorders>
            <w:shd w:val="clear" w:color="auto" w:fill="auto"/>
            <w:noWrap/>
            <w:vAlign w:val="center"/>
            <w:hideMark/>
          </w:tcPr>
          <w:p w14:paraId="020AE0EB"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r>
      <w:tr w:rsidR="00EA7806" w:rsidRPr="00EA7806" w14:paraId="5548C13B" w14:textId="77777777" w:rsidTr="008A0466">
        <w:trPr>
          <w:trHeight w:val="399"/>
        </w:trPr>
        <w:tc>
          <w:tcPr>
            <w:tcW w:w="1833" w:type="dxa"/>
            <w:vMerge/>
            <w:tcBorders>
              <w:top w:val="nil"/>
              <w:left w:val="single" w:sz="4" w:space="0" w:color="auto"/>
              <w:bottom w:val="single" w:sz="4" w:space="0" w:color="auto"/>
              <w:right w:val="single" w:sz="4" w:space="0" w:color="auto"/>
            </w:tcBorders>
            <w:vAlign w:val="center"/>
            <w:hideMark/>
          </w:tcPr>
          <w:p w14:paraId="58808C6C" w14:textId="77777777" w:rsidR="00EA7806" w:rsidRPr="008A0466" w:rsidRDefault="00EA7806" w:rsidP="00EA7806">
            <w:pPr>
              <w:spacing w:after="0"/>
              <w:rPr>
                <w:rFonts w:eastAsia="Times New Roman" w:cs="Calibri"/>
                <w:color w:val="000000"/>
                <w:sz w:val="20"/>
                <w:szCs w:val="20"/>
              </w:rPr>
            </w:pPr>
          </w:p>
        </w:tc>
        <w:tc>
          <w:tcPr>
            <w:tcW w:w="2369" w:type="dxa"/>
            <w:gridSpan w:val="2"/>
            <w:tcBorders>
              <w:top w:val="single" w:sz="4" w:space="0" w:color="auto"/>
              <w:left w:val="nil"/>
              <w:bottom w:val="single" w:sz="4" w:space="0" w:color="auto"/>
              <w:right w:val="single" w:sz="4" w:space="0" w:color="auto"/>
            </w:tcBorders>
            <w:shd w:val="clear" w:color="auto" w:fill="auto"/>
            <w:vAlign w:val="center"/>
            <w:hideMark/>
          </w:tcPr>
          <w:p w14:paraId="5697EA2B" w14:textId="77777777" w:rsidR="00EA7806" w:rsidRPr="008A0466" w:rsidRDefault="00EA7806" w:rsidP="00EA7806">
            <w:pPr>
              <w:spacing w:after="0"/>
              <w:rPr>
                <w:rFonts w:eastAsia="Times New Roman" w:cs="Calibri"/>
                <w:color w:val="000000"/>
                <w:sz w:val="20"/>
                <w:szCs w:val="20"/>
              </w:rPr>
            </w:pPr>
            <w:r w:rsidRPr="008A0466">
              <w:rPr>
                <w:rFonts w:eastAsia="Times New Roman" w:cs="Calibri"/>
                <w:color w:val="000000"/>
                <w:sz w:val="20"/>
                <w:szCs w:val="20"/>
              </w:rPr>
              <w:t>Street Classification</w:t>
            </w:r>
          </w:p>
        </w:tc>
        <w:tc>
          <w:tcPr>
            <w:tcW w:w="1003" w:type="dxa"/>
            <w:tcBorders>
              <w:top w:val="nil"/>
              <w:left w:val="nil"/>
              <w:bottom w:val="single" w:sz="4" w:space="0" w:color="auto"/>
              <w:right w:val="single" w:sz="4" w:space="0" w:color="auto"/>
            </w:tcBorders>
            <w:shd w:val="clear" w:color="auto" w:fill="auto"/>
            <w:noWrap/>
            <w:vAlign w:val="center"/>
            <w:hideMark/>
          </w:tcPr>
          <w:p w14:paraId="1CFF52C8"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246" w:type="dxa"/>
            <w:tcBorders>
              <w:top w:val="nil"/>
              <w:left w:val="nil"/>
              <w:bottom w:val="single" w:sz="4" w:space="0" w:color="auto"/>
              <w:right w:val="single" w:sz="4" w:space="0" w:color="auto"/>
            </w:tcBorders>
            <w:shd w:val="clear" w:color="auto" w:fill="auto"/>
            <w:noWrap/>
            <w:vAlign w:val="center"/>
            <w:hideMark/>
          </w:tcPr>
          <w:p w14:paraId="0A17905C"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954" w:type="dxa"/>
            <w:tcBorders>
              <w:top w:val="nil"/>
              <w:left w:val="nil"/>
              <w:bottom w:val="single" w:sz="4" w:space="0" w:color="auto"/>
              <w:right w:val="single" w:sz="4" w:space="0" w:color="auto"/>
            </w:tcBorders>
            <w:shd w:val="clear" w:color="auto" w:fill="auto"/>
            <w:noWrap/>
            <w:vAlign w:val="center"/>
            <w:hideMark/>
          </w:tcPr>
          <w:p w14:paraId="4509DAC2"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540" w:type="dxa"/>
            <w:tcBorders>
              <w:top w:val="nil"/>
              <w:left w:val="nil"/>
              <w:bottom w:val="single" w:sz="4" w:space="0" w:color="auto"/>
              <w:right w:val="single" w:sz="4" w:space="0" w:color="auto"/>
            </w:tcBorders>
            <w:shd w:val="clear" w:color="auto" w:fill="auto"/>
            <w:noWrap/>
            <w:vAlign w:val="center"/>
            <w:hideMark/>
          </w:tcPr>
          <w:p w14:paraId="261A2D4E"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r>
      <w:tr w:rsidR="00EA7806" w:rsidRPr="00EA7806" w14:paraId="2C5588B7" w14:textId="77777777" w:rsidTr="008A0466">
        <w:trPr>
          <w:trHeight w:val="399"/>
        </w:trPr>
        <w:tc>
          <w:tcPr>
            <w:tcW w:w="1833" w:type="dxa"/>
            <w:vMerge/>
            <w:tcBorders>
              <w:top w:val="nil"/>
              <w:left w:val="single" w:sz="4" w:space="0" w:color="auto"/>
              <w:bottom w:val="single" w:sz="4" w:space="0" w:color="auto"/>
              <w:right w:val="single" w:sz="4" w:space="0" w:color="auto"/>
            </w:tcBorders>
            <w:vAlign w:val="center"/>
            <w:hideMark/>
          </w:tcPr>
          <w:p w14:paraId="6329E19A" w14:textId="77777777" w:rsidR="00EA7806" w:rsidRPr="008A0466" w:rsidRDefault="00EA7806" w:rsidP="00EA7806">
            <w:pPr>
              <w:spacing w:after="0"/>
              <w:rPr>
                <w:rFonts w:eastAsia="Times New Roman" w:cs="Calibri"/>
                <w:color w:val="000000"/>
                <w:sz w:val="20"/>
                <w:szCs w:val="20"/>
              </w:rPr>
            </w:pPr>
          </w:p>
        </w:tc>
        <w:tc>
          <w:tcPr>
            <w:tcW w:w="2369" w:type="dxa"/>
            <w:gridSpan w:val="2"/>
            <w:tcBorders>
              <w:top w:val="single" w:sz="4" w:space="0" w:color="auto"/>
              <w:left w:val="nil"/>
              <w:bottom w:val="single" w:sz="4" w:space="0" w:color="auto"/>
              <w:right w:val="single" w:sz="4" w:space="0" w:color="auto"/>
            </w:tcBorders>
            <w:shd w:val="clear" w:color="auto" w:fill="auto"/>
            <w:vAlign w:val="center"/>
            <w:hideMark/>
          </w:tcPr>
          <w:p w14:paraId="58C0C3BC" w14:textId="77777777" w:rsidR="00EA7806" w:rsidRPr="008A0466" w:rsidRDefault="00EA7806" w:rsidP="00EA7806">
            <w:pPr>
              <w:spacing w:after="0"/>
              <w:rPr>
                <w:rFonts w:eastAsia="Times New Roman" w:cs="Calibri"/>
                <w:color w:val="000000"/>
                <w:sz w:val="20"/>
                <w:szCs w:val="20"/>
              </w:rPr>
            </w:pPr>
            <w:r w:rsidRPr="008A0466">
              <w:rPr>
                <w:rFonts w:eastAsia="Times New Roman" w:cs="Calibri"/>
                <w:color w:val="000000"/>
                <w:sz w:val="20"/>
                <w:szCs w:val="20"/>
              </w:rPr>
              <w:t>Role in Street Network</w:t>
            </w:r>
          </w:p>
        </w:tc>
        <w:tc>
          <w:tcPr>
            <w:tcW w:w="1003" w:type="dxa"/>
            <w:tcBorders>
              <w:top w:val="nil"/>
              <w:left w:val="nil"/>
              <w:bottom w:val="single" w:sz="4" w:space="0" w:color="auto"/>
              <w:right w:val="single" w:sz="4" w:space="0" w:color="auto"/>
            </w:tcBorders>
            <w:shd w:val="clear" w:color="auto" w:fill="auto"/>
            <w:noWrap/>
            <w:vAlign w:val="center"/>
            <w:hideMark/>
          </w:tcPr>
          <w:p w14:paraId="7621E79F"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246" w:type="dxa"/>
            <w:tcBorders>
              <w:top w:val="nil"/>
              <w:left w:val="nil"/>
              <w:bottom w:val="single" w:sz="4" w:space="0" w:color="auto"/>
              <w:right w:val="single" w:sz="4" w:space="0" w:color="auto"/>
            </w:tcBorders>
            <w:shd w:val="clear" w:color="auto" w:fill="auto"/>
            <w:noWrap/>
            <w:vAlign w:val="center"/>
            <w:hideMark/>
          </w:tcPr>
          <w:p w14:paraId="0DBFC749"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954" w:type="dxa"/>
            <w:tcBorders>
              <w:top w:val="nil"/>
              <w:left w:val="nil"/>
              <w:bottom w:val="single" w:sz="4" w:space="0" w:color="auto"/>
              <w:right w:val="single" w:sz="4" w:space="0" w:color="auto"/>
            </w:tcBorders>
            <w:shd w:val="clear" w:color="auto" w:fill="auto"/>
            <w:noWrap/>
            <w:vAlign w:val="center"/>
            <w:hideMark/>
          </w:tcPr>
          <w:p w14:paraId="114CED33"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540" w:type="dxa"/>
            <w:tcBorders>
              <w:top w:val="nil"/>
              <w:left w:val="nil"/>
              <w:bottom w:val="single" w:sz="4" w:space="0" w:color="auto"/>
              <w:right w:val="single" w:sz="4" w:space="0" w:color="auto"/>
            </w:tcBorders>
            <w:shd w:val="clear" w:color="auto" w:fill="auto"/>
            <w:noWrap/>
            <w:vAlign w:val="center"/>
            <w:hideMark/>
          </w:tcPr>
          <w:p w14:paraId="4F348169"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r>
      <w:tr w:rsidR="00EA7806" w:rsidRPr="00EA7806" w14:paraId="7FA50647" w14:textId="77777777" w:rsidTr="008A0466">
        <w:trPr>
          <w:trHeight w:val="399"/>
        </w:trPr>
        <w:tc>
          <w:tcPr>
            <w:tcW w:w="1833" w:type="dxa"/>
            <w:vMerge w:val="restart"/>
            <w:tcBorders>
              <w:top w:val="nil"/>
              <w:left w:val="single" w:sz="4" w:space="0" w:color="auto"/>
              <w:bottom w:val="single" w:sz="4" w:space="0" w:color="auto"/>
              <w:right w:val="single" w:sz="4" w:space="0" w:color="auto"/>
            </w:tcBorders>
            <w:shd w:val="clear" w:color="auto" w:fill="auto"/>
            <w:vAlign w:val="center"/>
            <w:hideMark/>
          </w:tcPr>
          <w:p w14:paraId="686A99B6" w14:textId="3012F3FE" w:rsidR="00EA7806" w:rsidRPr="008A0466" w:rsidRDefault="00EA7806" w:rsidP="00EA7806">
            <w:pPr>
              <w:spacing w:after="0"/>
              <w:rPr>
                <w:rFonts w:eastAsia="Times New Roman" w:cs="Calibri"/>
                <w:color w:val="000000"/>
                <w:sz w:val="20"/>
                <w:szCs w:val="20"/>
              </w:rPr>
            </w:pPr>
            <w:r w:rsidRPr="008A0466">
              <w:rPr>
                <w:rFonts w:eastAsia="Times New Roman" w:cs="Calibri"/>
                <w:color w:val="000000"/>
                <w:sz w:val="20"/>
                <w:szCs w:val="20"/>
              </w:rPr>
              <w:t>Business</w:t>
            </w:r>
            <w:r w:rsidR="003469C2" w:rsidRPr="008A0466">
              <w:rPr>
                <w:rFonts w:eastAsia="Times New Roman" w:cs="Calibri"/>
                <w:color w:val="000000"/>
                <w:sz w:val="20"/>
                <w:szCs w:val="20"/>
              </w:rPr>
              <w:t xml:space="preserve"> Activity</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5C97D506" w14:textId="77777777" w:rsidR="00EA7806" w:rsidRPr="008A0466" w:rsidRDefault="00EA7806" w:rsidP="00EA7806">
            <w:pPr>
              <w:spacing w:after="0"/>
              <w:rPr>
                <w:rFonts w:eastAsia="Times New Roman" w:cs="Calibri"/>
                <w:color w:val="000000"/>
                <w:sz w:val="20"/>
                <w:szCs w:val="20"/>
              </w:rPr>
            </w:pPr>
            <w:r w:rsidRPr="008A0466">
              <w:rPr>
                <w:rFonts w:eastAsia="Times New Roman" w:cs="Calibri"/>
                <w:color w:val="000000"/>
                <w:sz w:val="20"/>
                <w:szCs w:val="20"/>
              </w:rPr>
              <w:t>Job Density Percentile</w:t>
            </w:r>
          </w:p>
        </w:tc>
        <w:tc>
          <w:tcPr>
            <w:tcW w:w="1117" w:type="dxa"/>
            <w:tcBorders>
              <w:top w:val="nil"/>
              <w:left w:val="nil"/>
              <w:bottom w:val="single" w:sz="4" w:space="0" w:color="auto"/>
              <w:right w:val="single" w:sz="4" w:space="0" w:color="auto"/>
            </w:tcBorders>
            <w:shd w:val="clear" w:color="auto" w:fill="auto"/>
            <w:noWrap/>
            <w:vAlign w:val="center"/>
            <w:hideMark/>
          </w:tcPr>
          <w:p w14:paraId="47D43553" w14:textId="77777777" w:rsidR="00EA7806" w:rsidRPr="008A0466" w:rsidRDefault="00EA7806" w:rsidP="00EA7806">
            <w:pPr>
              <w:spacing w:after="0"/>
              <w:rPr>
                <w:rFonts w:eastAsia="Times New Roman" w:cs="Calibri"/>
                <w:color w:val="000000"/>
                <w:sz w:val="20"/>
                <w:szCs w:val="20"/>
              </w:rPr>
            </w:pPr>
            <w:r w:rsidRPr="008A0466">
              <w:rPr>
                <w:rFonts w:eastAsia="Times New Roman" w:cs="Calibri"/>
                <w:color w:val="000000"/>
                <w:sz w:val="20"/>
                <w:szCs w:val="20"/>
              </w:rPr>
              <w:t>retail</w:t>
            </w:r>
          </w:p>
        </w:tc>
        <w:tc>
          <w:tcPr>
            <w:tcW w:w="1003" w:type="dxa"/>
            <w:tcBorders>
              <w:top w:val="nil"/>
              <w:left w:val="nil"/>
              <w:bottom w:val="single" w:sz="4" w:space="0" w:color="auto"/>
              <w:right w:val="single" w:sz="4" w:space="0" w:color="auto"/>
            </w:tcBorders>
            <w:shd w:val="clear" w:color="auto" w:fill="auto"/>
            <w:noWrap/>
            <w:vAlign w:val="center"/>
            <w:hideMark/>
          </w:tcPr>
          <w:p w14:paraId="330E8B71"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246" w:type="dxa"/>
            <w:tcBorders>
              <w:top w:val="nil"/>
              <w:left w:val="nil"/>
              <w:bottom w:val="single" w:sz="4" w:space="0" w:color="auto"/>
              <w:right w:val="single" w:sz="4" w:space="0" w:color="auto"/>
            </w:tcBorders>
            <w:shd w:val="clear" w:color="auto" w:fill="auto"/>
            <w:noWrap/>
            <w:vAlign w:val="center"/>
            <w:hideMark/>
          </w:tcPr>
          <w:p w14:paraId="5008432B"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954" w:type="dxa"/>
            <w:tcBorders>
              <w:top w:val="nil"/>
              <w:left w:val="nil"/>
              <w:bottom w:val="single" w:sz="4" w:space="0" w:color="auto"/>
              <w:right w:val="single" w:sz="4" w:space="0" w:color="auto"/>
            </w:tcBorders>
            <w:shd w:val="clear" w:color="auto" w:fill="auto"/>
            <w:noWrap/>
            <w:vAlign w:val="center"/>
            <w:hideMark/>
          </w:tcPr>
          <w:p w14:paraId="6805AFA5"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540" w:type="dxa"/>
            <w:tcBorders>
              <w:top w:val="nil"/>
              <w:left w:val="nil"/>
              <w:bottom w:val="single" w:sz="4" w:space="0" w:color="auto"/>
              <w:right w:val="single" w:sz="4" w:space="0" w:color="auto"/>
            </w:tcBorders>
            <w:shd w:val="clear" w:color="auto" w:fill="auto"/>
            <w:noWrap/>
            <w:vAlign w:val="center"/>
            <w:hideMark/>
          </w:tcPr>
          <w:p w14:paraId="3D3043C7"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r>
      <w:tr w:rsidR="00EA7806" w:rsidRPr="00EA7806" w14:paraId="641FF4AF" w14:textId="77777777" w:rsidTr="008A0466">
        <w:trPr>
          <w:trHeight w:val="399"/>
        </w:trPr>
        <w:tc>
          <w:tcPr>
            <w:tcW w:w="1833" w:type="dxa"/>
            <w:vMerge/>
            <w:tcBorders>
              <w:top w:val="nil"/>
              <w:left w:val="single" w:sz="4" w:space="0" w:color="auto"/>
              <w:bottom w:val="single" w:sz="4" w:space="0" w:color="auto"/>
              <w:right w:val="single" w:sz="4" w:space="0" w:color="auto"/>
            </w:tcBorders>
            <w:vAlign w:val="center"/>
            <w:hideMark/>
          </w:tcPr>
          <w:p w14:paraId="78EEBB97" w14:textId="77777777" w:rsidR="00EA7806" w:rsidRPr="008A0466" w:rsidRDefault="00EA7806" w:rsidP="00EA7806">
            <w:pPr>
              <w:spacing w:after="0"/>
              <w:rPr>
                <w:rFonts w:eastAsia="Times New Roman" w:cs="Calibri"/>
                <w:color w:val="00000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799F7BF9" w14:textId="77777777" w:rsidR="00EA7806" w:rsidRPr="008A0466" w:rsidRDefault="00EA7806" w:rsidP="00EA7806">
            <w:pPr>
              <w:spacing w:after="0"/>
              <w:rPr>
                <w:rFonts w:eastAsia="Times New Roman" w:cs="Calibri"/>
                <w:color w:val="000000"/>
                <w:sz w:val="20"/>
                <w:szCs w:val="20"/>
              </w:rPr>
            </w:pPr>
          </w:p>
        </w:tc>
        <w:tc>
          <w:tcPr>
            <w:tcW w:w="1117" w:type="dxa"/>
            <w:tcBorders>
              <w:top w:val="nil"/>
              <w:left w:val="nil"/>
              <w:bottom w:val="single" w:sz="4" w:space="0" w:color="auto"/>
              <w:right w:val="single" w:sz="4" w:space="0" w:color="auto"/>
            </w:tcBorders>
            <w:shd w:val="clear" w:color="auto" w:fill="auto"/>
            <w:noWrap/>
            <w:vAlign w:val="center"/>
            <w:hideMark/>
          </w:tcPr>
          <w:p w14:paraId="766403DA" w14:textId="77777777" w:rsidR="00EA7806" w:rsidRPr="008A0466" w:rsidRDefault="00EA7806" w:rsidP="00EA7806">
            <w:pPr>
              <w:spacing w:after="0"/>
              <w:rPr>
                <w:rFonts w:eastAsia="Times New Roman" w:cs="Calibri"/>
                <w:color w:val="000000"/>
                <w:sz w:val="20"/>
                <w:szCs w:val="20"/>
              </w:rPr>
            </w:pPr>
            <w:r w:rsidRPr="008A0466">
              <w:rPr>
                <w:rFonts w:eastAsia="Times New Roman" w:cs="Calibri"/>
                <w:color w:val="000000"/>
                <w:sz w:val="20"/>
                <w:szCs w:val="20"/>
              </w:rPr>
              <w:t>food</w:t>
            </w:r>
          </w:p>
        </w:tc>
        <w:tc>
          <w:tcPr>
            <w:tcW w:w="1003" w:type="dxa"/>
            <w:tcBorders>
              <w:top w:val="nil"/>
              <w:left w:val="nil"/>
              <w:bottom w:val="single" w:sz="4" w:space="0" w:color="auto"/>
              <w:right w:val="single" w:sz="4" w:space="0" w:color="auto"/>
            </w:tcBorders>
            <w:shd w:val="clear" w:color="auto" w:fill="auto"/>
            <w:noWrap/>
            <w:vAlign w:val="center"/>
            <w:hideMark/>
          </w:tcPr>
          <w:p w14:paraId="75F4C0E5"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246" w:type="dxa"/>
            <w:tcBorders>
              <w:top w:val="nil"/>
              <w:left w:val="nil"/>
              <w:bottom w:val="single" w:sz="4" w:space="0" w:color="auto"/>
              <w:right w:val="single" w:sz="4" w:space="0" w:color="auto"/>
            </w:tcBorders>
            <w:shd w:val="clear" w:color="auto" w:fill="auto"/>
            <w:noWrap/>
            <w:vAlign w:val="center"/>
            <w:hideMark/>
          </w:tcPr>
          <w:p w14:paraId="49991763"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954" w:type="dxa"/>
            <w:tcBorders>
              <w:top w:val="nil"/>
              <w:left w:val="nil"/>
              <w:bottom w:val="single" w:sz="4" w:space="0" w:color="auto"/>
              <w:right w:val="single" w:sz="4" w:space="0" w:color="auto"/>
            </w:tcBorders>
            <w:shd w:val="clear" w:color="auto" w:fill="auto"/>
            <w:noWrap/>
            <w:vAlign w:val="center"/>
            <w:hideMark/>
          </w:tcPr>
          <w:p w14:paraId="11231718"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540" w:type="dxa"/>
            <w:tcBorders>
              <w:top w:val="nil"/>
              <w:left w:val="nil"/>
              <w:bottom w:val="single" w:sz="4" w:space="0" w:color="auto"/>
              <w:right w:val="single" w:sz="4" w:space="0" w:color="auto"/>
            </w:tcBorders>
            <w:shd w:val="clear" w:color="auto" w:fill="auto"/>
            <w:noWrap/>
            <w:vAlign w:val="center"/>
            <w:hideMark/>
          </w:tcPr>
          <w:p w14:paraId="0A39BD4D"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r>
      <w:tr w:rsidR="00EA7806" w:rsidRPr="00EA7806" w14:paraId="311732FE" w14:textId="77777777" w:rsidTr="008A0466">
        <w:trPr>
          <w:trHeight w:val="399"/>
        </w:trPr>
        <w:tc>
          <w:tcPr>
            <w:tcW w:w="1833" w:type="dxa"/>
            <w:vMerge/>
            <w:tcBorders>
              <w:top w:val="nil"/>
              <w:left w:val="single" w:sz="4" w:space="0" w:color="auto"/>
              <w:bottom w:val="single" w:sz="4" w:space="0" w:color="auto"/>
              <w:right w:val="single" w:sz="4" w:space="0" w:color="auto"/>
            </w:tcBorders>
            <w:vAlign w:val="center"/>
            <w:hideMark/>
          </w:tcPr>
          <w:p w14:paraId="38FAC2E1" w14:textId="77777777" w:rsidR="00EA7806" w:rsidRPr="008A0466" w:rsidRDefault="00EA7806" w:rsidP="00EA7806">
            <w:pPr>
              <w:spacing w:after="0"/>
              <w:rPr>
                <w:rFonts w:eastAsia="Times New Roman" w:cs="Calibri"/>
                <w:color w:val="000000"/>
                <w:sz w:val="20"/>
                <w:szCs w:val="20"/>
              </w:rPr>
            </w:pPr>
          </w:p>
        </w:tc>
        <w:tc>
          <w:tcPr>
            <w:tcW w:w="23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12FB66" w14:textId="6F588935" w:rsidR="00EA7806" w:rsidRPr="008A0466" w:rsidRDefault="00AD0899" w:rsidP="00EA7806">
            <w:pPr>
              <w:spacing w:after="0"/>
              <w:rPr>
                <w:rFonts w:eastAsia="Times New Roman" w:cs="Calibri"/>
                <w:color w:val="000000"/>
                <w:sz w:val="20"/>
                <w:szCs w:val="20"/>
              </w:rPr>
            </w:pPr>
            <w:r w:rsidRPr="008A0466">
              <w:rPr>
                <w:rFonts w:eastAsia="Times New Roman" w:cs="Calibri"/>
                <w:color w:val="000000"/>
                <w:sz w:val="20"/>
                <w:szCs w:val="20"/>
              </w:rPr>
              <w:t>Share</w:t>
            </w:r>
            <w:r w:rsidR="00EA7806" w:rsidRPr="008A0466">
              <w:rPr>
                <w:rFonts w:eastAsia="Times New Roman" w:cs="Calibri"/>
                <w:color w:val="000000"/>
                <w:sz w:val="20"/>
                <w:szCs w:val="20"/>
              </w:rPr>
              <w:t xml:space="preserve"> of Business Jobs</w:t>
            </w:r>
          </w:p>
        </w:tc>
        <w:tc>
          <w:tcPr>
            <w:tcW w:w="1003" w:type="dxa"/>
            <w:tcBorders>
              <w:top w:val="nil"/>
              <w:left w:val="nil"/>
              <w:bottom w:val="single" w:sz="4" w:space="0" w:color="auto"/>
              <w:right w:val="single" w:sz="4" w:space="0" w:color="auto"/>
            </w:tcBorders>
            <w:shd w:val="clear" w:color="auto" w:fill="auto"/>
            <w:noWrap/>
            <w:vAlign w:val="center"/>
            <w:hideMark/>
          </w:tcPr>
          <w:p w14:paraId="7E431A5E"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246" w:type="dxa"/>
            <w:tcBorders>
              <w:top w:val="nil"/>
              <w:left w:val="nil"/>
              <w:bottom w:val="single" w:sz="4" w:space="0" w:color="auto"/>
              <w:right w:val="single" w:sz="4" w:space="0" w:color="auto"/>
            </w:tcBorders>
            <w:shd w:val="clear" w:color="auto" w:fill="auto"/>
            <w:noWrap/>
            <w:vAlign w:val="center"/>
            <w:hideMark/>
          </w:tcPr>
          <w:p w14:paraId="6F578FB1"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954" w:type="dxa"/>
            <w:tcBorders>
              <w:top w:val="nil"/>
              <w:left w:val="nil"/>
              <w:bottom w:val="single" w:sz="4" w:space="0" w:color="auto"/>
              <w:right w:val="single" w:sz="4" w:space="0" w:color="auto"/>
            </w:tcBorders>
            <w:shd w:val="clear" w:color="auto" w:fill="auto"/>
            <w:noWrap/>
            <w:vAlign w:val="center"/>
            <w:hideMark/>
          </w:tcPr>
          <w:p w14:paraId="0D3069C6"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540" w:type="dxa"/>
            <w:tcBorders>
              <w:top w:val="nil"/>
              <w:left w:val="nil"/>
              <w:bottom w:val="single" w:sz="4" w:space="0" w:color="auto"/>
              <w:right w:val="single" w:sz="4" w:space="0" w:color="auto"/>
            </w:tcBorders>
            <w:shd w:val="clear" w:color="auto" w:fill="auto"/>
            <w:noWrap/>
            <w:vAlign w:val="center"/>
            <w:hideMark/>
          </w:tcPr>
          <w:p w14:paraId="155676C5"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r>
      <w:tr w:rsidR="00EA7806" w:rsidRPr="00EA7806" w14:paraId="14B38B2F" w14:textId="77777777" w:rsidTr="008A0466">
        <w:trPr>
          <w:trHeight w:val="399"/>
        </w:trPr>
        <w:tc>
          <w:tcPr>
            <w:tcW w:w="1833" w:type="dxa"/>
            <w:vMerge/>
            <w:tcBorders>
              <w:top w:val="nil"/>
              <w:left w:val="single" w:sz="4" w:space="0" w:color="auto"/>
              <w:bottom w:val="single" w:sz="4" w:space="0" w:color="auto"/>
              <w:right w:val="single" w:sz="4" w:space="0" w:color="auto"/>
            </w:tcBorders>
            <w:vAlign w:val="center"/>
            <w:hideMark/>
          </w:tcPr>
          <w:p w14:paraId="620C026D" w14:textId="77777777" w:rsidR="00EA7806" w:rsidRPr="008A0466" w:rsidRDefault="00EA7806" w:rsidP="00EA7806">
            <w:pPr>
              <w:spacing w:after="0"/>
              <w:rPr>
                <w:rFonts w:eastAsia="Times New Roman" w:cs="Calibri"/>
                <w:color w:val="000000"/>
                <w:sz w:val="20"/>
                <w:szCs w:val="20"/>
              </w:rPr>
            </w:pP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01C60CBB" w14:textId="77777777" w:rsidR="00EA7806" w:rsidRPr="008A0466" w:rsidRDefault="00EA7806" w:rsidP="00EA7806">
            <w:pPr>
              <w:spacing w:after="0"/>
              <w:rPr>
                <w:rFonts w:eastAsia="Times New Roman" w:cs="Calibri"/>
                <w:color w:val="000000"/>
                <w:sz w:val="20"/>
                <w:szCs w:val="20"/>
              </w:rPr>
            </w:pPr>
            <w:r w:rsidRPr="008A0466">
              <w:rPr>
                <w:rFonts w:eastAsia="Times New Roman" w:cs="Calibri"/>
                <w:color w:val="000000"/>
                <w:sz w:val="20"/>
                <w:szCs w:val="20"/>
              </w:rPr>
              <w:t>Employment Growth Rate</w:t>
            </w:r>
          </w:p>
        </w:tc>
        <w:tc>
          <w:tcPr>
            <w:tcW w:w="1117" w:type="dxa"/>
            <w:tcBorders>
              <w:top w:val="nil"/>
              <w:left w:val="nil"/>
              <w:bottom w:val="single" w:sz="4" w:space="0" w:color="auto"/>
              <w:right w:val="single" w:sz="4" w:space="0" w:color="auto"/>
            </w:tcBorders>
            <w:shd w:val="clear" w:color="auto" w:fill="auto"/>
            <w:noWrap/>
            <w:vAlign w:val="center"/>
            <w:hideMark/>
          </w:tcPr>
          <w:p w14:paraId="25E32273" w14:textId="77777777" w:rsidR="00EA7806" w:rsidRPr="008A0466" w:rsidRDefault="00EA7806" w:rsidP="00EA7806">
            <w:pPr>
              <w:spacing w:after="0"/>
              <w:rPr>
                <w:rFonts w:eastAsia="Times New Roman" w:cs="Calibri"/>
                <w:color w:val="000000"/>
                <w:sz w:val="20"/>
                <w:szCs w:val="20"/>
              </w:rPr>
            </w:pPr>
            <w:r w:rsidRPr="008A0466">
              <w:rPr>
                <w:rFonts w:eastAsia="Times New Roman" w:cs="Calibri"/>
                <w:color w:val="000000"/>
                <w:sz w:val="20"/>
                <w:szCs w:val="20"/>
              </w:rPr>
              <w:t>retail</w:t>
            </w:r>
          </w:p>
        </w:tc>
        <w:tc>
          <w:tcPr>
            <w:tcW w:w="1003" w:type="dxa"/>
            <w:tcBorders>
              <w:top w:val="nil"/>
              <w:left w:val="nil"/>
              <w:bottom w:val="single" w:sz="4" w:space="0" w:color="auto"/>
              <w:right w:val="single" w:sz="4" w:space="0" w:color="auto"/>
            </w:tcBorders>
            <w:shd w:val="clear" w:color="auto" w:fill="auto"/>
            <w:noWrap/>
            <w:vAlign w:val="center"/>
            <w:hideMark/>
          </w:tcPr>
          <w:p w14:paraId="15AD5852"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246" w:type="dxa"/>
            <w:tcBorders>
              <w:top w:val="nil"/>
              <w:left w:val="nil"/>
              <w:bottom w:val="single" w:sz="4" w:space="0" w:color="auto"/>
              <w:right w:val="single" w:sz="4" w:space="0" w:color="auto"/>
            </w:tcBorders>
            <w:shd w:val="clear" w:color="auto" w:fill="auto"/>
            <w:noWrap/>
            <w:vAlign w:val="center"/>
            <w:hideMark/>
          </w:tcPr>
          <w:p w14:paraId="3621F14B"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954" w:type="dxa"/>
            <w:tcBorders>
              <w:top w:val="nil"/>
              <w:left w:val="nil"/>
              <w:bottom w:val="single" w:sz="4" w:space="0" w:color="auto"/>
              <w:right w:val="single" w:sz="4" w:space="0" w:color="auto"/>
            </w:tcBorders>
            <w:shd w:val="clear" w:color="auto" w:fill="auto"/>
            <w:noWrap/>
            <w:vAlign w:val="center"/>
            <w:hideMark/>
          </w:tcPr>
          <w:p w14:paraId="4F32AA3B"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540" w:type="dxa"/>
            <w:tcBorders>
              <w:top w:val="nil"/>
              <w:left w:val="nil"/>
              <w:bottom w:val="single" w:sz="4" w:space="0" w:color="auto"/>
              <w:right w:val="single" w:sz="4" w:space="0" w:color="auto"/>
            </w:tcBorders>
            <w:shd w:val="clear" w:color="auto" w:fill="auto"/>
            <w:noWrap/>
            <w:vAlign w:val="center"/>
            <w:hideMark/>
          </w:tcPr>
          <w:p w14:paraId="65B9670F"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r>
      <w:tr w:rsidR="00EA7806" w:rsidRPr="00EA7806" w14:paraId="1FABFC5E" w14:textId="77777777" w:rsidTr="008A0466">
        <w:trPr>
          <w:trHeight w:val="399"/>
        </w:trPr>
        <w:tc>
          <w:tcPr>
            <w:tcW w:w="1833" w:type="dxa"/>
            <w:vMerge/>
            <w:tcBorders>
              <w:top w:val="nil"/>
              <w:left w:val="single" w:sz="4" w:space="0" w:color="auto"/>
              <w:bottom w:val="single" w:sz="4" w:space="0" w:color="auto"/>
              <w:right w:val="single" w:sz="4" w:space="0" w:color="auto"/>
            </w:tcBorders>
            <w:vAlign w:val="center"/>
            <w:hideMark/>
          </w:tcPr>
          <w:p w14:paraId="46EF50A8" w14:textId="77777777" w:rsidR="00EA7806" w:rsidRPr="008A0466" w:rsidRDefault="00EA7806" w:rsidP="00EA7806">
            <w:pPr>
              <w:spacing w:after="0"/>
              <w:rPr>
                <w:rFonts w:eastAsia="Times New Roman" w:cs="Calibri"/>
                <w:color w:val="00000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65F61AEA" w14:textId="77777777" w:rsidR="00EA7806" w:rsidRPr="008A0466" w:rsidRDefault="00EA7806" w:rsidP="00EA7806">
            <w:pPr>
              <w:spacing w:after="0"/>
              <w:rPr>
                <w:rFonts w:eastAsia="Times New Roman" w:cs="Calibri"/>
                <w:color w:val="000000"/>
                <w:sz w:val="20"/>
                <w:szCs w:val="20"/>
              </w:rPr>
            </w:pPr>
          </w:p>
        </w:tc>
        <w:tc>
          <w:tcPr>
            <w:tcW w:w="1117" w:type="dxa"/>
            <w:tcBorders>
              <w:top w:val="nil"/>
              <w:left w:val="nil"/>
              <w:bottom w:val="single" w:sz="4" w:space="0" w:color="auto"/>
              <w:right w:val="single" w:sz="4" w:space="0" w:color="auto"/>
            </w:tcBorders>
            <w:shd w:val="clear" w:color="auto" w:fill="auto"/>
            <w:noWrap/>
            <w:vAlign w:val="center"/>
            <w:hideMark/>
          </w:tcPr>
          <w:p w14:paraId="2D7373B4" w14:textId="77777777" w:rsidR="00EA7806" w:rsidRPr="008A0466" w:rsidRDefault="00EA7806" w:rsidP="00EA7806">
            <w:pPr>
              <w:spacing w:after="0"/>
              <w:rPr>
                <w:rFonts w:eastAsia="Times New Roman" w:cs="Calibri"/>
                <w:color w:val="000000"/>
                <w:sz w:val="20"/>
                <w:szCs w:val="20"/>
              </w:rPr>
            </w:pPr>
            <w:r w:rsidRPr="008A0466">
              <w:rPr>
                <w:rFonts w:eastAsia="Times New Roman" w:cs="Calibri"/>
                <w:color w:val="000000"/>
                <w:sz w:val="20"/>
                <w:szCs w:val="20"/>
              </w:rPr>
              <w:t>food</w:t>
            </w:r>
          </w:p>
        </w:tc>
        <w:tc>
          <w:tcPr>
            <w:tcW w:w="1003" w:type="dxa"/>
            <w:tcBorders>
              <w:top w:val="nil"/>
              <w:left w:val="nil"/>
              <w:bottom w:val="single" w:sz="4" w:space="0" w:color="auto"/>
              <w:right w:val="single" w:sz="4" w:space="0" w:color="auto"/>
            </w:tcBorders>
            <w:shd w:val="clear" w:color="auto" w:fill="auto"/>
            <w:noWrap/>
            <w:vAlign w:val="center"/>
            <w:hideMark/>
          </w:tcPr>
          <w:p w14:paraId="412A7B0F"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246" w:type="dxa"/>
            <w:tcBorders>
              <w:top w:val="nil"/>
              <w:left w:val="nil"/>
              <w:bottom w:val="single" w:sz="4" w:space="0" w:color="auto"/>
              <w:right w:val="single" w:sz="4" w:space="0" w:color="auto"/>
            </w:tcBorders>
            <w:shd w:val="clear" w:color="auto" w:fill="auto"/>
            <w:noWrap/>
            <w:vAlign w:val="center"/>
            <w:hideMark/>
          </w:tcPr>
          <w:p w14:paraId="15BFD0E8"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954" w:type="dxa"/>
            <w:tcBorders>
              <w:top w:val="nil"/>
              <w:left w:val="nil"/>
              <w:bottom w:val="single" w:sz="4" w:space="0" w:color="auto"/>
              <w:right w:val="single" w:sz="4" w:space="0" w:color="auto"/>
            </w:tcBorders>
            <w:shd w:val="clear" w:color="auto" w:fill="auto"/>
            <w:noWrap/>
            <w:vAlign w:val="center"/>
            <w:hideMark/>
          </w:tcPr>
          <w:p w14:paraId="7ABE21AE"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c>
          <w:tcPr>
            <w:tcW w:w="1540" w:type="dxa"/>
            <w:tcBorders>
              <w:top w:val="nil"/>
              <w:left w:val="nil"/>
              <w:bottom w:val="single" w:sz="4" w:space="0" w:color="auto"/>
              <w:right w:val="single" w:sz="4" w:space="0" w:color="auto"/>
            </w:tcBorders>
            <w:shd w:val="clear" w:color="auto" w:fill="auto"/>
            <w:noWrap/>
            <w:vAlign w:val="center"/>
            <w:hideMark/>
          </w:tcPr>
          <w:p w14:paraId="6B1F0266" w14:textId="77777777" w:rsidR="00EA7806" w:rsidRPr="00EA7806" w:rsidRDefault="00EA7806" w:rsidP="00AD0899">
            <w:pPr>
              <w:spacing w:after="0"/>
              <w:jc w:val="center"/>
              <w:rPr>
                <w:rFonts w:ascii="Wingdings" w:eastAsia="Times New Roman" w:hAnsi="Wingdings" w:cs="Calibri"/>
                <w:color w:val="000000"/>
                <w:sz w:val="20"/>
                <w:szCs w:val="20"/>
              </w:rPr>
            </w:pPr>
            <w:r w:rsidRPr="00EA7806">
              <w:rPr>
                <w:rFonts w:ascii="Wingdings" w:eastAsia="Times New Roman" w:hAnsi="Wingdings" w:cs="Calibri"/>
                <w:color w:val="000000"/>
                <w:sz w:val="20"/>
                <w:szCs w:val="20"/>
              </w:rPr>
              <w:t></w:t>
            </w:r>
          </w:p>
        </w:tc>
      </w:tr>
    </w:tbl>
    <w:p w14:paraId="493DA7A0" w14:textId="77777777" w:rsidR="00F14DA5" w:rsidRDefault="00F14DA5">
      <w:pPr>
        <w:rPr>
          <w:rFonts w:asciiTheme="majorHAnsi" w:eastAsiaTheme="majorEastAsia" w:hAnsiTheme="majorHAnsi" w:cstheme="majorBidi"/>
          <w:b/>
          <w:bCs/>
          <w:color w:val="345A8A" w:themeColor="accent1" w:themeShade="B5"/>
          <w:sz w:val="32"/>
          <w:szCs w:val="32"/>
        </w:rPr>
      </w:pPr>
      <w:bookmarkStart w:id="15" w:name="data-analysis"/>
      <w:bookmarkEnd w:id="15"/>
      <w:r>
        <w:br w:type="page"/>
      </w:r>
    </w:p>
    <w:p w14:paraId="5D547320" w14:textId="77777777" w:rsidR="00A61086" w:rsidRDefault="00FF17C4">
      <w:pPr>
        <w:pStyle w:val="Heading1"/>
      </w:pPr>
      <w:r>
        <w:lastRenderedPageBreak/>
        <w:t>Data Analysis</w:t>
      </w:r>
    </w:p>
    <w:p w14:paraId="7CBC3D14" w14:textId="77777777" w:rsidR="00A61086" w:rsidRDefault="00FF17C4">
      <w:pPr>
        <w:pStyle w:val="Heading2"/>
      </w:pPr>
      <w:bookmarkStart w:id="16" w:name="virginia-avenue-1"/>
      <w:bookmarkEnd w:id="16"/>
      <w:r>
        <w:t>Virginia Avenue</w:t>
      </w:r>
    </w:p>
    <w:p w14:paraId="5C802E63" w14:textId="77777777" w:rsidR="00A61086" w:rsidRDefault="00FF17C4">
      <w:pPr>
        <w:pStyle w:val="Heading3"/>
      </w:pPr>
      <w:bookmarkStart w:id="17" w:name="aggregated-trend-analysis"/>
      <w:bookmarkEnd w:id="17"/>
      <w:r>
        <w:t>Aggregated Trend Analysis</w:t>
      </w:r>
    </w:p>
    <w:p w14:paraId="3C806B33" w14:textId="77777777" w:rsidR="00A61086" w:rsidRDefault="00FF17C4">
      <w:pPr>
        <w:pStyle w:val="Heading4"/>
      </w:pPr>
      <w:bookmarkStart w:id="18" w:name="lehd"/>
      <w:bookmarkEnd w:id="18"/>
      <w:r>
        <w:t>LEHD</w:t>
      </w:r>
    </w:p>
    <w:p w14:paraId="259D5833" w14:textId="12EE094F" w:rsidR="00A61086" w:rsidRDefault="00FF17C4">
      <w:pPr>
        <w:pStyle w:val="FirstParagraph"/>
      </w:pPr>
      <w:r>
        <w:t xml:space="preserve">In terms of retail performance, the </w:t>
      </w:r>
      <w:r w:rsidR="00105906">
        <w:t>Virginia Avenue treatment</w:t>
      </w:r>
      <w:r>
        <w:t xml:space="preserve"> corridor’s retail employment remains relatively flat over the </w:t>
      </w:r>
      <w:r w:rsidR="00525E7E">
        <w:t xml:space="preserve">period of </w:t>
      </w:r>
      <w:r>
        <w:t xml:space="preserve">study. </w:t>
      </w:r>
      <w:r w:rsidR="00A43D13">
        <w:t>In terms of the food</w:t>
      </w:r>
      <w:r>
        <w:t xml:space="preserve"> sector, the treatment corridor has a similar growth trend to the Prospect </w:t>
      </w:r>
      <w:r w:rsidR="00861B65">
        <w:t xml:space="preserve">Street </w:t>
      </w:r>
      <w:r>
        <w:t xml:space="preserve">and Shelby </w:t>
      </w:r>
      <w:r w:rsidR="00861B65">
        <w:t xml:space="preserve">Street </w:t>
      </w:r>
      <w:r>
        <w:t>corridors</w:t>
      </w:r>
      <w:r w:rsidR="003469C2">
        <w:t xml:space="preserve"> before street improvement, but </w:t>
      </w:r>
      <w:r w:rsidR="00525E7E">
        <w:t xml:space="preserve">shows </w:t>
      </w:r>
      <w:r w:rsidR="003469C2">
        <w:t>substantial employment growth after the construction</w:t>
      </w:r>
      <w:r>
        <w:t>.</w:t>
      </w:r>
    </w:p>
    <w:p w14:paraId="204D59BF" w14:textId="77777777" w:rsidR="00A61086" w:rsidRDefault="00CE6D00">
      <w:pPr>
        <w:pStyle w:val="BodyText"/>
      </w:pPr>
      <w:r>
        <w:rPr>
          <w:noProof/>
          <w:lang w:eastAsia="zh-TW"/>
        </w:rPr>
        <w:drawing>
          <wp:inline distT="0" distB="0" distL="0" distR="0" wp14:anchorId="3A27DA25" wp14:editId="25E89569">
            <wp:extent cx="5695950" cy="2847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5950" cy="2847975"/>
                    </a:xfrm>
                    <a:prstGeom prst="rect">
                      <a:avLst/>
                    </a:prstGeom>
                  </pic:spPr>
                </pic:pic>
              </a:graphicData>
            </a:graphic>
          </wp:inline>
        </w:drawing>
      </w:r>
    </w:p>
    <w:p w14:paraId="5278B739" w14:textId="77777777" w:rsidR="00F41A69" w:rsidRDefault="00F41A69" w:rsidP="00F41A69">
      <w:pPr>
        <w:pStyle w:val="Caption"/>
      </w:pPr>
      <w:r>
        <w:t xml:space="preserve">Figure </w:t>
      </w:r>
      <w:fldSimple w:instr=" STYLEREF 1 \s ">
        <w:r>
          <w:rPr>
            <w:noProof/>
          </w:rPr>
          <w:t>4</w:t>
        </w:r>
      </w:fldSimple>
      <w:r>
        <w:noBreakHyphen/>
      </w:r>
      <w:fldSimple w:instr=" SEQ Figure \* ARABIC \s 1 ">
        <w:r>
          <w:rPr>
            <w:noProof/>
          </w:rPr>
          <w:t>1</w:t>
        </w:r>
      </w:fldSimple>
      <w:r>
        <w:t>. Virginia Avenue Employment Comparison (LEHD)</w:t>
      </w:r>
    </w:p>
    <w:p w14:paraId="7C19E071" w14:textId="09C07CF7" w:rsidR="00A61086" w:rsidRDefault="00FF17C4">
      <w:pPr>
        <w:pStyle w:val="BodyText"/>
      </w:pPr>
      <w:r>
        <w:t>Indexing the employment figures allows us to examine the change in the growth of employment</w:t>
      </w:r>
      <w:r w:rsidR="001671B0">
        <w:t>, and compare to the patterns in the city of Indianapolis as a whole</w:t>
      </w:r>
      <w:r>
        <w:t xml:space="preserve">. The retail plot shows that Virginia </w:t>
      </w:r>
      <w:r w:rsidR="00A43D13">
        <w:t>Avenue</w:t>
      </w:r>
      <w:r w:rsidR="003469C2">
        <w:t xml:space="preserve"> </w:t>
      </w:r>
      <w:r w:rsidR="004B03C2">
        <w:t xml:space="preserve">maintains a consistently level of employment prior to the </w:t>
      </w:r>
      <w:r w:rsidR="003469C2">
        <w:t>street improvement, while its control corridors</w:t>
      </w:r>
      <w:r w:rsidR="00A43D13">
        <w:t xml:space="preserve"> </w:t>
      </w:r>
      <w:r w:rsidR="003469C2">
        <w:t>experienced significant drop</w:t>
      </w:r>
      <w:r w:rsidR="004B03C2">
        <w:t>s</w:t>
      </w:r>
      <w:r w:rsidR="003469C2">
        <w:t xml:space="preserve"> in </w:t>
      </w:r>
      <w:r w:rsidR="004B03C2">
        <w:t xml:space="preserve">the </w:t>
      </w:r>
      <w:r w:rsidR="003469C2">
        <w:t>2008</w:t>
      </w:r>
      <w:r w:rsidR="004B03C2">
        <w:t xml:space="preserve"> recessionary period</w:t>
      </w:r>
      <w:r w:rsidR="003469C2">
        <w:t xml:space="preserve">. All corridors saw </w:t>
      </w:r>
      <w:r w:rsidR="00886917">
        <w:t xml:space="preserve">decreases </w:t>
      </w:r>
      <w:r>
        <w:t xml:space="preserve">during the recession and then </w:t>
      </w:r>
      <w:r w:rsidR="00886917">
        <w:t xml:space="preserve">a rebound of employment </w:t>
      </w:r>
      <w:r>
        <w:t>in the late 2000s/early 2010s. The treatment corridor does not track any particular comparator corridor that closely</w:t>
      </w:r>
      <w:r w:rsidR="003469C2">
        <w:t>,</w:t>
      </w:r>
      <w:r>
        <w:t xml:space="preserve"> but it is much closer to the city as a whole than the others.</w:t>
      </w:r>
    </w:p>
    <w:p w14:paraId="07C44DFC" w14:textId="169ED357" w:rsidR="00A61086" w:rsidRDefault="00FF17C4">
      <w:pPr>
        <w:pStyle w:val="BodyText"/>
      </w:pPr>
      <w:r>
        <w:t xml:space="preserve">The indexed </w:t>
      </w:r>
      <w:r w:rsidR="00A43D13">
        <w:t>food</w:t>
      </w:r>
      <w:r>
        <w:t xml:space="preserve"> employment </w:t>
      </w:r>
      <w:r w:rsidR="003469C2">
        <w:t xml:space="preserve">trend </w:t>
      </w:r>
      <w:r>
        <w:t xml:space="preserve">shows a much tighter relationship among the corridors. This should be expected given the relatively small amounts of </w:t>
      </w:r>
      <w:r w:rsidR="00A43D13">
        <w:t>food</w:t>
      </w:r>
      <w:r>
        <w:t xml:space="preserve"> employment across the corridors, but Virginia Ave</w:t>
      </w:r>
      <w:r w:rsidR="00A43D13">
        <w:t>nue</w:t>
      </w:r>
      <w:r>
        <w:t>’s clear, consistent growth starting after</w:t>
      </w:r>
      <w:r w:rsidR="003469C2">
        <w:t xml:space="preserve"> 2007, especially after </w:t>
      </w:r>
      <w:r w:rsidR="001B4C33">
        <w:t xml:space="preserve">the </w:t>
      </w:r>
      <w:r w:rsidR="003469C2">
        <w:t>street improvement</w:t>
      </w:r>
      <w:r w:rsidR="001B4C33">
        <w:t xml:space="preserve"> construction</w:t>
      </w:r>
      <w:r w:rsidR="003469C2">
        <w:t xml:space="preserve">, is </w:t>
      </w:r>
      <w:r w:rsidR="001B4C33">
        <w:t xml:space="preserve">quite stunning when compared to </w:t>
      </w:r>
      <w:r w:rsidR="001B4C33">
        <w:lastRenderedPageBreak/>
        <w:t xml:space="preserve">its </w:t>
      </w:r>
      <w:r w:rsidR="003469C2">
        <w:t>control corridors</w:t>
      </w:r>
      <w:r>
        <w:t>.</w:t>
      </w:r>
      <w:r w:rsidR="003469C2">
        <w:t xml:space="preserve"> We can conclude </w:t>
      </w:r>
      <w:r w:rsidR="001B4C33">
        <w:t xml:space="preserve">that </w:t>
      </w:r>
      <w:r w:rsidR="003469C2">
        <w:t>the positive food employment growth on Virginia Avenue could be attributed to the street improvement.</w:t>
      </w:r>
    </w:p>
    <w:p w14:paraId="10F064A3" w14:textId="77777777" w:rsidR="00A61086" w:rsidRDefault="00CE6D00">
      <w:pPr>
        <w:pStyle w:val="BodyText"/>
      </w:pPr>
      <w:r>
        <w:rPr>
          <w:noProof/>
          <w:lang w:eastAsia="zh-TW"/>
        </w:rPr>
        <w:drawing>
          <wp:inline distT="0" distB="0" distL="0" distR="0" wp14:anchorId="66B89A0F" wp14:editId="52FB2523">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71800"/>
                    </a:xfrm>
                    <a:prstGeom prst="rect">
                      <a:avLst/>
                    </a:prstGeom>
                  </pic:spPr>
                </pic:pic>
              </a:graphicData>
            </a:graphic>
          </wp:inline>
        </w:drawing>
      </w:r>
    </w:p>
    <w:p w14:paraId="71517B82" w14:textId="77777777" w:rsidR="00F41A69" w:rsidRDefault="00F41A69" w:rsidP="00F41A69">
      <w:pPr>
        <w:pStyle w:val="Caption"/>
      </w:pPr>
      <w:r>
        <w:t xml:space="preserve">Figure </w:t>
      </w:r>
      <w:fldSimple w:instr=" STYLEREF 1 \s ">
        <w:r>
          <w:rPr>
            <w:noProof/>
          </w:rPr>
          <w:t>4</w:t>
        </w:r>
      </w:fldSimple>
      <w:r>
        <w:noBreakHyphen/>
      </w:r>
      <w:fldSimple w:instr=" SEQ Figure \* ARABIC \s 1 ">
        <w:r>
          <w:rPr>
            <w:noProof/>
          </w:rPr>
          <w:t>2</w:t>
        </w:r>
      </w:fldSimple>
      <w:r>
        <w:t>. Virginia Avenue Indexed Employment Comparison (LEHD)</w:t>
      </w:r>
    </w:p>
    <w:p w14:paraId="5DFC1034" w14:textId="77777777" w:rsidR="00A61086" w:rsidRDefault="00FF17C4">
      <w:pPr>
        <w:pStyle w:val="Heading4"/>
      </w:pPr>
      <w:bookmarkStart w:id="19" w:name="sales-tax"/>
      <w:bookmarkEnd w:id="19"/>
      <w:r>
        <w:t>Sales Tax</w:t>
      </w:r>
    </w:p>
    <w:p w14:paraId="5003764A" w14:textId="77777777" w:rsidR="008E0540" w:rsidRDefault="008E0540" w:rsidP="008E0540">
      <w:pPr>
        <w:pStyle w:val="FirstParagraph"/>
      </w:pPr>
      <w:r>
        <w:t>In order to better understand the impacts of the street improvement on the corridors, we utilized sales tax data in our analysis. As mentioned previously, sales taxes can be a more sensitive measure of economic activity than employment and the data is typically available on a more frequent basis.</w:t>
      </w:r>
    </w:p>
    <w:p w14:paraId="6E1DDB1A" w14:textId="1A6CB50C" w:rsidR="003469C2" w:rsidRDefault="00FF17C4">
      <w:pPr>
        <w:pStyle w:val="FirstParagraph"/>
      </w:pPr>
      <w:r>
        <w:t xml:space="preserve">In terms of sales tax revenue and growth patterns, all </w:t>
      </w:r>
      <w:r w:rsidR="003469C2">
        <w:t>three</w:t>
      </w:r>
      <w:r>
        <w:t xml:space="preserve"> corridors are comparable. Virginia Ave</w:t>
      </w:r>
      <w:r w:rsidR="00A43D13">
        <w:t>nue</w:t>
      </w:r>
      <w:r>
        <w:t xml:space="preserve"> itself sees steady and increasing tax revenue over time with </w:t>
      </w:r>
      <w:r w:rsidR="00E1162C">
        <w:t xml:space="preserve">an anomalous spike in 2014, </w:t>
      </w:r>
      <w:r>
        <w:t xml:space="preserve">but quickly returns to normal. Shelby </w:t>
      </w:r>
      <w:r w:rsidR="00E1162C">
        <w:t xml:space="preserve">Street </w:t>
      </w:r>
      <w:r>
        <w:t xml:space="preserve">and Prospect </w:t>
      </w:r>
      <w:r w:rsidR="00E1162C">
        <w:t xml:space="preserve">Street generally </w:t>
      </w:r>
      <w:r>
        <w:t>mirror Virginia Avenue in terms of total tax receipts and also follow</w:t>
      </w:r>
      <w:r w:rsidR="00E1162C">
        <w:t>s the same</w:t>
      </w:r>
      <w:r>
        <w:t xml:space="preserve"> growth trends, though both have more modest growth over time than Virginia</w:t>
      </w:r>
      <w:r w:rsidR="00A43D13">
        <w:t xml:space="preserve"> Avenue</w:t>
      </w:r>
      <w:r>
        <w:t xml:space="preserve">. </w:t>
      </w:r>
    </w:p>
    <w:p w14:paraId="2DFAE38F" w14:textId="2419D3DA" w:rsidR="008E0540" w:rsidRDefault="008E0540" w:rsidP="008E0540">
      <w:pPr>
        <w:pStyle w:val="BodyText"/>
      </w:pPr>
      <w:r>
        <w:t>The indexed plots give us an alternative view of the corridors that reinforce what the non-indexed plots show, by highlighting how the economic indicators have changed when compared to the baseline year of 2011 when the street improvement occurred. The consistent growth of sales tax revenue on the improved Virginia Avenue and the relatively weaker growth on Prospect Street and Shelby Street are even more evident in the indexed plots. It is clear that Virginia Avenue continues to experience stellar growth over time.</w:t>
      </w:r>
    </w:p>
    <w:p w14:paraId="576A4F98" w14:textId="77777777" w:rsidR="008E0540" w:rsidRPr="008E0540" w:rsidRDefault="008E0540" w:rsidP="008E0540">
      <w:pPr>
        <w:pStyle w:val="BodyText"/>
      </w:pPr>
    </w:p>
    <w:p w14:paraId="2A067CF9" w14:textId="78083673" w:rsidR="00A61086" w:rsidRDefault="007764ED">
      <w:pPr>
        <w:pStyle w:val="FirstParagraph"/>
        <w:rPr>
          <w:noProof/>
          <w:lang w:eastAsia="zh-CN"/>
        </w:rPr>
      </w:pPr>
      <w:r>
        <w:rPr>
          <w:noProof/>
          <w:lang w:eastAsia="zh-TW"/>
        </w:rPr>
        <w:lastRenderedPageBreak/>
        <w:drawing>
          <wp:inline distT="0" distB="0" distL="0" distR="0" wp14:anchorId="07CC9AF1" wp14:editId="4F60C041">
            <wp:extent cx="5943600" cy="445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57700"/>
                    </a:xfrm>
                    <a:prstGeom prst="rect">
                      <a:avLst/>
                    </a:prstGeom>
                  </pic:spPr>
                </pic:pic>
              </a:graphicData>
            </a:graphic>
          </wp:inline>
        </w:drawing>
      </w:r>
    </w:p>
    <w:p w14:paraId="55F52D61" w14:textId="77777777" w:rsidR="00F41A69" w:rsidRPr="00F41A69" w:rsidRDefault="00F41A69" w:rsidP="00F41A69">
      <w:pPr>
        <w:pStyle w:val="Caption"/>
        <w:rPr>
          <w:lang w:eastAsia="zh-CN"/>
        </w:rPr>
      </w:pPr>
      <w:r>
        <w:t xml:space="preserve">Figure </w:t>
      </w:r>
      <w:fldSimple w:instr=" STYLEREF 1 \s ">
        <w:r>
          <w:rPr>
            <w:noProof/>
          </w:rPr>
          <w:t>4</w:t>
        </w:r>
      </w:fldSimple>
      <w:r>
        <w:noBreakHyphen/>
      </w:r>
      <w:fldSimple w:instr=" SEQ Figure \* ARABIC \s 1 ">
        <w:r>
          <w:rPr>
            <w:noProof/>
          </w:rPr>
          <w:t>3</w:t>
        </w:r>
      </w:fldSimple>
      <w:r>
        <w:t>. Virginia Avenue Sales Tax Comparison (Sales tax data)</w:t>
      </w:r>
    </w:p>
    <w:p w14:paraId="39DAC2AC" w14:textId="77777777" w:rsidR="00A61086" w:rsidRDefault="00A61086">
      <w:pPr>
        <w:pStyle w:val="BodyText"/>
      </w:pPr>
    </w:p>
    <w:p w14:paraId="186B118F" w14:textId="77777777" w:rsidR="00A61086" w:rsidRDefault="00FF17C4">
      <w:pPr>
        <w:pStyle w:val="Heading4"/>
      </w:pPr>
      <w:bookmarkStart w:id="20" w:name="qcew"/>
      <w:bookmarkEnd w:id="20"/>
      <w:r>
        <w:t>QCEW</w:t>
      </w:r>
    </w:p>
    <w:p w14:paraId="246939A2" w14:textId="7A1BF4B3" w:rsidR="00A601D8" w:rsidRDefault="00A601D8" w:rsidP="00A601D8">
      <w:pPr>
        <w:pStyle w:val="FirstParagraph"/>
      </w:pPr>
      <w:r>
        <w:t>As mentioned earlier, the QCEW data provided by the state will give us more economic indicators as it includes establishment counts and total wage information for the food and drinking place service industry on the corridors. While we do not have access to fully disaggregated data, the increased sample size and detail on establishments and wages is still valuable and expands our understanding of the economic and business dynamics of our corridors.</w:t>
      </w:r>
    </w:p>
    <w:p w14:paraId="5E8D62F4" w14:textId="35BAF00F" w:rsidR="00A61086" w:rsidRDefault="00FF17C4">
      <w:pPr>
        <w:pStyle w:val="FirstParagraph"/>
      </w:pPr>
      <w:r>
        <w:t>In the case of Virginia Avenue, the ability to isolate slightly more detailed industries, in this case food and drinking places (NAICS code 722)</w:t>
      </w:r>
      <w:r w:rsidR="00CD0E97">
        <w:t>,</w:t>
      </w:r>
      <w:r>
        <w:t xml:space="preserve"> gives us a clearer idea of the growth in our industries of interest. </w:t>
      </w:r>
      <w:r w:rsidR="003469C2">
        <w:t>For</w:t>
      </w:r>
      <w:r>
        <w:t xml:space="preserve"> example, the growth in food and drinking places employment is more dramatic </w:t>
      </w:r>
      <w:r w:rsidR="0078191F">
        <w:t>than the aggregated trend analysis of other data sources (which include both food service and retail establishments) on</w:t>
      </w:r>
      <w:r>
        <w:t xml:space="preserve"> Virginia Avenue but the overall pattern remains similar to the </w:t>
      </w:r>
      <w:r w:rsidR="00D75C59">
        <w:t>analysis of LEHD data</w:t>
      </w:r>
      <w:r>
        <w:t>.</w:t>
      </w:r>
    </w:p>
    <w:p w14:paraId="711A19D5" w14:textId="77777777" w:rsidR="00A61086" w:rsidRDefault="007764ED">
      <w:pPr>
        <w:pStyle w:val="BodyText"/>
      </w:pPr>
      <w:r>
        <w:rPr>
          <w:noProof/>
          <w:lang w:eastAsia="zh-TW"/>
        </w:rPr>
        <w:lastRenderedPageBreak/>
        <w:drawing>
          <wp:inline distT="0" distB="0" distL="0" distR="0" wp14:anchorId="4DBC5A00" wp14:editId="4DD58A6A">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457700"/>
                    </a:xfrm>
                    <a:prstGeom prst="rect">
                      <a:avLst/>
                    </a:prstGeom>
                  </pic:spPr>
                </pic:pic>
              </a:graphicData>
            </a:graphic>
          </wp:inline>
        </w:drawing>
      </w:r>
    </w:p>
    <w:p w14:paraId="115DEF80" w14:textId="77777777" w:rsidR="00F41A69" w:rsidRDefault="00F41A69" w:rsidP="00F41A69">
      <w:pPr>
        <w:pStyle w:val="Caption"/>
      </w:pPr>
      <w:r>
        <w:t xml:space="preserve">Figure </w:t>
      </w:r>
      <w:fldSimple w:instr=" STYLEREF 1 \s ">
        <w:r>
          <w:rPr>
            <w:noProof/>
          </w:rPr>
          <w:t>4</w:t>
        </w:r>
      </w:fldSimple>
      <w:r>
        <w:noBreakHyphen/>
      </w:r>
      <w:fldSimple w:instr=" SEQ Figure \* ARABIC \s 1 ">
        <w:r>
          <w:rPr>
            <w:noProof/>
          </w:rPr>
          <w:t>4</w:t>
        </w:r>
      </w:fldSimple>
      <w:r>
        <w:t>. Virginia Avenue Employment and Total Wages Comparison (QCEW)</w:t>
      </w:r>
    </w:p>
    <w:p w14:paraId="008893AA" w14:textId="5E8E249F" w:rsidR="00A61086" w:rsidRDefault="00FF17C4">
      <w:pPr>
        <w:pStyle w:val="BodyText"/>
      </w:pPr>
      <w:r>
        <w:t xml:space="preserve">While the basic trend graphs give us an idea of the pattern of growth over time, in this case, consistent employment on Virginia </w:t>
      </w:r>
      <w:r w:rsidR="00A43D13">
        <w:t xml:space="preserve">Avenue </w:t>
      </w:r>
      <w:r>
        <w:t>compared to its comparison corridors, an indexed plot can give us a better idea of changes in growth with every corridor on the same scale.</w:t>
      </w:r>
      <w:r w:rsidR="00BD408F">
        <w:t xml:space="preserve"> </w:t>
      </w:r>
      <w:r>
        <w:t xml:space="preserve">The indexed </w:t>
      </w:r>
      <w:r w:rsidR="003469C2">
        <w:t xml:space="preserve">graphs </w:t>
      </w:r>
      <w:r>
        <w:t xml:space="preserve">for employment and </w:t>
      </w:r>
      <w:r w:rsidR="003469C2">
        <w:t xml:space="preserve">indicates </w:t>
      </w:r>
      <w:r w:rsidR="00F3506E">
        <w:t>a</w:t>
      </w:r>
      <w:r w:rsidR="003469C2">
        <w:t xml:space="preserve"> similar trend</w:t>
      </w:r>
      <w:r>
        <w:t>,</w:t>
      </w:r>
      <w:r w:rsidR="003469C2">
        <w:t xml:space="preserve"> that</w:t>
      </w:r>
      <w:r>
        <w:t xml:space="preserve"> the </w:t>
      </w:r>
      <w:r w:rsidR="003469C2">
        <w:t xml:space="preserve">Virginia Avenue </w:t>
      </w:r>
      <w:r>
        <w:t>corridor has seen nearly 600% growth in employment</w:t>
      </w:r>
      <w:r w:rsidR="003469C2">
        <w:t xml:space="preserve"> after three years of street improvement</w:t>
      </w:r>
      <w:r>
        <w:t xml:space="preserve">. Interestingly, the Shelby </w:t>
      </w:r>
      <w:r w:rsidR="00861B65">
        <w:t xml:space="preserve">Street </w:t>
      </w:r>
      <w:r>
        <w:t xml:space="preserve">and Prospect </w:t>
      </w:r>
      <w:r w:rsidR="00861B65">
        <w:t xml:space="preserve">Street </w:t>
      </w:r>
      <w:r>
        <w:t xml:space="preserve">corridor growth trends also mirror Virginia Avenue well before construction, </w:t>
      </w:r>
      <w:r w:rsidR="00FC2046">
        <w:t>but do not follow the same extraordinary employment growth trend following the street improvement</w:t>
      </w:r>
      <w:r>
        <w:t>.</w:t>
      </w:r>
    </w:p>
    <w:p w14:paraId="1295A22C" w14:textId="129883C9" w:rsidR="00A61086" w:rsidRDefault="00FF17C4">
      <w:pPr>
        <w:pStyle w:val="BodyText"/>
      </w:pPr>
      <w:r>
        <w:t xml:space="preserve">In terms of wages, we find similar patterns, which is to be expected </w:t>
      </w:r>
      <w:r w:rsidR="00FC2046">
        <w:t xml:space="preserve">since </w:t>
      </w:r>
      <w:r>
        <w:t xml:space="preserve">wages and employment </w:t>
      </w:r>
      <w:r w:rsidR="00FC2046">
        <w:t xml:space="preserve">typically </w:t>
      </w:r>
      <w:r>
        <w:t xml:space="preserve">track closely together. Virginia </w:t>
      </w:r>
      <w:r w:rsidR="00A43D13">
        <w:t xml:space="preserve">Avenue </w:t>
      </w:r>
      <w:r>
        <w:t xml:space="preserve">displays dramatic growth again with over 800% rise in total wages reported with steady growth starting </w:t>
      </w:r>
      <w:r w:rsidR="003469C2">
        <w:t>from the street improvement construction period</w:t>
      </w:r>
      <w:r>
        <w:t>.</w:t>
      </w:r>
      <w:r w:rsidR="00BD408F">
        <w:t xml:space="preserve"> </w:t>
      </w:r>
    </w:p>
    <w:p w14:paraId="117B3B6B" w14:textId="77777777" w:rsidR="00A61086" w:rsidRDefault="007764ED">
      <w:pPr>
        <w:pStyle w:val="BodyText"/>
      </w:pPr>
      <w:r>
        <w:rPr>
          <w:noProof/>
          <w:lang w:eastAsia="zh-TW"/>
        </w:rPr>
        <w:lastRenderedPageBreak/>
        <w:drawing>
          <wp:inline distT="0" distB="0" distL="0" distR="0" wp14:anchorId="142BEB3D" wp14:editId="73EC37C2">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457700"/>
                    </a:xfrm>
                    <a:prstGeom prst="rect">
                      <a:avLst/>
                    </a:prstGeom>
                  </pic:spPr>
                </pic:pic>
              </a:graphicData>
            </a:graphic>
          </wp:inline>
        </w:drawing>
      </w:r>
    </w:p>
    <w:p w14:paraId="3FA33726" w14:textId="77777777" w:rsidR="00F41A69" w:rsidRDefault="00F41A69" w:rsidP="00F41A69">
      <w:pPr>
        <w:pStyle w:val="Caption"/>
      </w:pPr>
      <w:r>
        <w:t xml:space="preserve">Figure </w:t>
      </w:r>
      <w:fldSimple w:instr=" STYLEREF 1 \s ">
        <w:r>
          <w:rPr>
            <w:noProof/>
          </w:rPr>
          <w:t>4</w:t>
        </w:r>
      </w:fldSimple>
      <w:r>
        <w:noBreakHyphen/>
      </w:r>
      <w:fldSimple w:instr=" SEQ Figure \* ARABIC \s 1 ">
        <w:r>
          <w:rPr>
            <w:noProof/>
          </w:rPr>
          <w:t>5</w:t>
        </w:r>
      </w:fldSimple>
      <w:r>
        <w:t>. Virginia Avenue Indexed Employment and Total Wages Comparison (QCEW)</w:t>
      </w:r>
    </w:p>
    <w:p w14:paraId="738782A2" w14:textId="77777777" w:rsidR="00F41A69" w:rsidRDefault="00F41A69" w:rsidP="00F41A69">
      <w:pPr>
        <w:pStyle w:val="Caption"/>
      </w:pPr>
      <w:r>
        <w:t xml:space="preserve">Table </w:t>
      </w:r>
      <w:fldSimple w:instr=" STYLEREF 1 \s ">
        <w:r>
          <w:rPr>
            <w:noProof/>
          </w:rPr>
          <w:t>4</w:t>
        </w:r>
      </w:fldSimple>
      <w:r>
        <w:noBreakHyphen/>
      </w:r>
      <w:fldSimple w:instr=" SEQ Table \* ARABIC \s 1 ">
        <w:r>
          <w:rPr>
            <w:noProof/>
          </w:rPr>
          <w:t>1</w:t>
        </w:r>
      </w:fldSimple>
      <w:r>
        <w:t>. Virginia Corridor Trend Analysis Summary Table</w:t>
      </w:r>
    </w:p>
    <w:tbl>
      <w:tblPr>
        <w:tblW w:w="10882" w:type="dxa"/>
        <w:jc w:val="center"/>
        <w:tblBorders>
          <w:top w:val="single" w:sz="2" w:space="0" w:color="DDDDDD"/>
          <w:left w:val="single" w:sz="2" w:space="0" w:color="DDDDDD"/>
          <w:bottom w:val="single" w:sz="2" w:space="0" w:color="DDDDDD"/>
          <w:right w:val="single" w:sz="2" w:space="0" w:color="DDDDDD"/>
        </w:tblBorders>
        <w:tblLayout w:type="fixed"/>
        <w:tblCellMar>
          <w:top w:w="15" w:type="dxa"/>
          <w:left w:w="15" w:type="dxa"/>
          <w:bottom w:w="15" w:type="dxa"/>
          <w:right w:w="15" w:type="dxa"/>
        </w:tblCellMar>
        <w:tblLook w:val="04A0" w:firstRow="1" w:lastRow="0" w:firstColumn="1" w:lastColumn="0" w:noHBand="0" w:noVBand="1"/>
      </w:tblPr>
      <w:tblGrid>
        <w:gridCol w:w="1432"/>
        <w:gridCol w:w="900"/>
        <w:gridCol w:w="720"/>
        <w:gridCol w:w="810"/>
        <w:gridCol w:w="720"/>
        <w:gridCol w:w="810"/>
        <w:gridCol w:w="720"/>
        <w:gridCol w:w="900"/>
        <w:gridCol w:w="810"/>
        <w:gridCol w:w="810"/>
        <w:gridCol w:w="810"/>
        <w:gridCol w:w="720"/>
        <w:gridCol w:w="720"/>
      </w:tblGrid>
      <w:tr w:rsidR="00F13912" w14:paraId="508F47D8" w14:textId="77777777" w:rsidTr="00F14DA5">
        <w:trPr>
          <w:jc w:val="center"/>
        </w:trPr>
        <w:tc>
          <w:tcPr>
            <w:tcW w:w="1432" w:type="dxa"/>
            <w:vMerge w:val="restart"/>
            <w:tcBorders>
              <w:top w:val="single" w:sz="4" w:space="0" w:color="auto"/>
              <w:left w:val="single" w:sz="6" w:space="0" w:color="DDDDDD"/>
              <w:right w:val="single" w:sz="6" w:space="0" w:color="DDDDDD"/>
            </w:tcBorders>
            <w:shd w:val="clear" w:color="auto" w:fill="auto"/>
            <w:tcMar>
              <w:top w:w="75" w:type="dxa"/>
              <w:left w:w="75" w:type="dxa"/>
              <w:bottom w:w="75" w:type="dxa"/>
              <w:right w:w="75" w:type="dxa"/>
            </w:tcMar>
            <w:vAlign w:val="bottom"/>
            <w:hideMark/>
          </w:tcPr>
          <w:p w14:paraId="30AB707F" w14:textId="77777777" w:rsidR="00F13912" w:rsidRDefault="00F13912" w:rsidP="00F14DA5">
            <w:pPr>
              <w:spacing w:after="0"/>
              <w:rPr>
                <w:rFonts w:ascii="&amp;quot" w:hAnsi="&amp;quot"/>
                <w:b/>
                <w:bCs/>
                <w:color w:val="333333"/>
                <w:sz w:val="51"/>
                <w:szCs w:val="51"/>
              </w:rPr>
            </w:pPr>
            <w:r>
              <w:rPr>
                <w:rFonts w:ascii="&amp;quot" w:hAnsi="&amp;quot"/>
                <w:b/>
                <w:bCs/>
                <w:color w:val="333333"/>
                <w:sz w:val="17"/>
                <w:szCs w:val="17"/>
              </w:rPr>
              <w:t xml:space="preserve">Area </w:t>
            </w:r>
          </w:p>
        </w:tc>
        <w:tc>
          <w:tcPr>
            <w:tcW w:w="4680" w:type="dxa"/>
            <w:gridSpan w:val="6"/>
            <w:tcBorders>
              <w:top w:val="single" w:sz="4" w:space="0" w:color="auto"/>
              <w:left w:val="single" w:sz="6" w:space="0" w:color="DDDDDD"/>
              <w:bottom w:val="nil"/>
              <w:right w:val="single" w:sz="6" w:space="0" w:color="DDDDDD"/>
            </w:tcBorders>
            <w:shd w:val="clear" w:color="auto" w:fill="auto"/>
            <w:tcMar>
              <w:top w:w="75" w:type="dxa"/>
              <w:left w:w="45" w:type="dxa"/>
              <w:bottom w:w="0" w:type="dxa"/>
              <w:right w:w="45" w:type="dxa"/>
            </w:tcMar>
            <w:vAlign w:val="bottom"/>
            <w:hideMark/>
          </w:tcPr>
          <w:p w14:paraId="3C07847D"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Retail </w:t>
            </w:r>
          </w:p>
        </w:tc>
        <w:tc>
          <w:tcPr>
            <w:tcW w:w="4770" w:type="dxa"/>
            <w:gridSpan w:val="6"/>
            <w:tcBorders>
              <w:top w:val="single" w:sz="4" w:space="0" w:color="auto"/>
              <w:left w:val="single" w:sz="6" w:space="0" w:color="DDDDDD"/>
              <w:bottom w:val="nil"/>
              <w:right w:val="single" w:sz="6" w:space="0" w:color="DDDDDD"/>
            </w:tcBorders>
            <w:shd w:val="clear" w:color="auto" w:fill="auto"/>
            <w:tcMar>
              <w:top w:w="75" w:type="dxa"/>
              <w:left w:w="45" w:type="dxa"/>
              <w:bottom w:w="0" w:type="dxa"/>
              <w:right w:w="45" w:type="dxa"/>
            </w:tcMar>
            <w:vAlign w:val="bottom"/>
            <w:hideMark/>
          </w:tcPr>
          <w:p w14:paraId="07728CC6"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Food </w:t>
            </w:r>
          </w:p>
        </w:tc>
      </w:tr>
      <w:tr w:rsidR="00F13912" w14:paraId="7690EF0A" w14:textId="77777777" w:rsidTr="00F14DA5">
        <w:trPr>
          <w:jc w:val="center"/>
        </w:trPr>
        <w:tc>
          <w:tcPr>
            <w:tcW w:w="1432" w:type="dxa"/>
            <w:vMerge/>
            <w:tcBorders>
              <w:left w:val="single" w:sz="6" w:space="0" w:color="DDDDDD"/>
              <w:right w:val="single" w:sz="6" w:space="0" w:color="DDDDDD"/>
            </w:tcBorders>
            <w:shd w:val="clear" w:color="auto" w:fill="auto"/>
            <w:tcMar>
              <w:top w:w="75" w:type="dxa"/>
              <w:left w:w="75" w:type="dxa"/>
              <w:bottom w:w="75" w:type="dxa"/>
              <w:right w:w="75" w:type="dxa"/>
            </w:tcMar>
            <w:vAlign w:val="bottom"/>
            <w:hideMark/>
          </w:tcPr>
          <w:p w14:paraId="23C400FD" w14:textId="77777777" w:rsidR="00F13912" w:rsidRDefault="00F13912" w:rsidP="00F14DA5">
            <w:pPr>
              <w:spacing w:after="0"/>
              <w:rPr>
                <w:rFonts w:ascii="&amp;quot" w:hAnsi="&amp;quot"/>
                <w:b/>
                <w:bCs/>
                <w:color w:val="333333"/>
                <w:sz w:val="17"/>
                <w:szCs w:val="17"/>
              </w:rPr>
            </w:pPr>
          </w:p>
        </w:tc>
        <w:tc>
          <w:tcPr>
            <w:tcW w:w="1620" w:type="dxa"/>
            <w:gridSpan w:val="2"/>
            <w:tcBorders>
              <w:top w:val="single" w:sz="6" w:space="0" w:color="DDDDDD"/>
              <w:left w:val="single" w:sz="6" w:space="0" w:color="DDDDDD"/>
              <w:bottom w:val="nil"/>
              <w:right w:val="single" w:sz="6" w:space="0" w:color="DDDDDD"/>
            </w:tcBorders>
            <w:shd w:val="clear" w:color="auto" w:fill="auto"/>
            <w:tcMar>
              <w:top w:w="75" w:type="dxa"/>
              <w:left w:w="45" w:type="dxa"/>
              <w:bottom w:w="0" w:type="dxa"/>
              <w:right w:w="45" w:type="dxa"/>
            </w:tcMar>
            <w:vAlign w:val="bottom"/>
            <w:hideMark/>
          </w:tcPr>
          <w:p w14:paraId="3166A362"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Baseline </w:t>
            </w:r>
          </w:p>
        </w:tc>
        <w:tc>
          <w:tcPr>
            <w:tcW w:w="3060" w:type="dxa"/>
            <w:gridSpan w:val="4"/>
            <w:tcBorders>
              <w:top w:val="single" w:sz="6" w:space="0" w:color="DDDDDD"/>
              <w:left w:val="single" w:sz="6" w:space="0" w:color="DDDDDD"/>
              <w:bottom w:val="nil"/>
              <w:right w:val="single" w:sz="6" w:space="0" w:color="DDDDDD"/>
            </w:tcBorders>
            <w:shd w:val="clear" w:color="auto" w:fill="auto"/>
            <w:tcMar>
              <w:top w:w="75" w:type="dxa"/>
              <w:left w:w="45" w:type="dxa"/>
              <w:bottom w:w="0" w:type="dxa"/>
              <w:right w:w="45" w:type="dxa"/>
            </w:tcMar>
            <w:vAlign w:val="bottom"/>
            <w:hideMark/>
          </w:tcPr>
          <w:p w14:paraId="4996A64A"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Post-implementation </w:t>
            </w:r>
          </w:p>
        </w:tc>
        <w:tc>
          <w:tcPr>
            <w:tcW w:w="1710" w:type="dxa"/>
            <w:gridSpan w:val="2"/>
            <w:tcBorders>
              <w:top w:val="single" w:sz="6" w:space="0" w:color="DDDDDD"/>
              <w:left w:val="single" w:sz="6" w:space="0" w:color="DDDDDD"/>
              <w:bottom w:val="nil"/>
              <w:right w:val="single" w:sz="6" w:space="0" w:color="DDDDDD"/>
            </w:tcBorders>
            <w:shd w:val="clear" w:color="auto" w:fill="auto"/>
            <w:tcMar>
              <w:top w:w="75" w:type="dxa"/>
              <w:left w:w="45" w:type="dxa"/>
              <w:bottom w:w="0" w:type="dxa"/>
              <w:right w:w="45" w:type="dxa"/>
            </w:tcMar>
            <w:vAlign w:val="bottom"/>
            <w:hideMark/>
          </w:tcPr>
          <w:p w14:paraId="33764DDC"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Baseline </w:t>
            </w:r>
          </w:p>
        </w:tc>
        <w:tc>
          <w:tcPr>
            <w:tcW w:w="3060" w:type="dxa"/>
            <w:gridSpan w:val="4"/>
            <w:tcBorders>
              <w:top w:val="single" w:sz="6" w:space="0" w:color="DDDDDD"/>
              <w:left w:val="single" w:sz="6" w:space="0" w:color="DDDDDD"/>
              <w:bottom w:val="nil"/>
              <w:right w:val="single" w:sz="6" w:space="0" w:color="DDDDDD"/>
            </w:tcBorders>
            <w:shd w:val="clear" w:color="auto" w:fill="auto"/>
            <w:tcMar>
              <w:top w:w="75" w:type="dxa"/>
              <w:left w:w="45" w:type="dxa"/>
              <w:bottom w:w="0" w:type="dxa"/>
              <w:right w:w="45" w:type="dxa"/>
            </w:tcMar>
            <w:vAlign w:val="bottom"/>
            <w:hideMark/>
          </w:tcPr>
          <w:p w14:paraId="5C95B6C1"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Post-implementation </w:t>
            </w:r>
          </w:p>
        </w:tc>
      </w:tr>
      <w:tr w:rsidR="00F13912" w14:paraId="7B69A3D6" w14:textId="77777777" w:rsidTr="00F14DA5">
        <w:trPr>
          <w:jc w:val="center"/>
        </w:trPr>
        <w:tc>
          <w:tcPr>
            <w:tcW w:w="1432" w:type="dxa"/>
            <w:vMerge/>
            <w:tcBorders>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hideMark/>
          </w:tcPr>
          <w:p w14:paraId="312F462C" w14:textId="77777777" w:rsidR="00F13912" w:rsidRDefault="00F13912" w:rsidP="00F14DA5">
            <w:pPr>
              <w:spacing w:after="0"/>
              <w:rPr>
                <w:rFonts w:ascii="&amp;quot" w:hAnsi="&amp;quot"/>
                <w:b/>
                <w:bCs/>
                <w:color w:val="333333"/>
                <w:sz w:val="17"/>
                <w:szCs w:val="17"/>
              </w:rPr>
            </w:pPr>
          </w:p>
        </w:tc>
        <w:tc>
          <w:tcPr>
            <w:tcW w:w="90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hideMark/>
          </w:tcPr>
          <w:p w14:paraId="7DA3E36B"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Base </w:t>
            </w:r>
          </w:p>
        </w:tc>
        <w:tc>
          <w:tcPr>
            <w:tcW w:w="72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hideMark/>
          </w:tcPr>
          <w:p w14:paraId="13586D1F"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Growth </w:t>
            </w:r>
          </w:p>
        </w:tc>
        <w:tc>
          <w:tcPr>
            <w:tcW w:w="81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hideMark/>
          </w:tcPr>
          <w:p w14:paraId="425EEB72"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1st Year </w:t>
            </w:r>
          </w:p>
        </w:tc>
        <w:tc>
          <w:tcPr>
            <w:tcW w:w="72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hideMark/>
          </w:tcPr>
          <w:p w14:paraId="4E7B3C32"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2nd Year </w:t>
            </w:r>
          </w:p>
        </w:tc>
        <w:tc>
          <w:tcPr>
            <w:tcW w:w="81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hideMark/>
          </w:tcPr>
          <w:p w14:paraId="68C12473"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3rd Year </w:t>
            </w:r>
          </w:p>
        </w:tc>
        <w:tc>
          <w:tcPr>
            <w:tcW w:w="72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hideMark/>
          </w:tcPr>
          <w:p w14:paraId="54A04B42"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Avg. </w:t>
            </w:r>
          </w:p>
        </w:tc>
        <w:tc>
          <w:tcPr>
            <w:tcW w:w="90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hideMark/>
          </w:tcPr>
          <w:p w14:paraId="24740A01"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Base </w:t>
            </w:r>
          </w:p>
        </w:tc>
        <w:tc>
          <w:tcPr>
            <w:tcW w:w="81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hideMark/>
          </w:tcPr>
          <w:p w14:paraId="12B098D7"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Growth </w:t>
            </w:r>
          </w:p>
        </w:tc>
        <w:tc>
          <w:tcPr>
            <w:tcW w:w="81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hideMark/>
          </w:tcPr>
          <w:p w14:paraId="1BE426BB"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1st Year </w:t>
            </w:r>
          </w:p>
        </w:tc>
        <w:tc>
          <w:tcPr>
            <w:tcW w:w="81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hideMark/>
          </w:tcPr>
          <w:p w14:paraId="1AAE975F"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2nd Year </w:t>
            </w:r>
          </w:p>
        </w:tc>
        <w:tc>
          <w:tcPr>
            <w:tcW w:w="72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hideMark/>
          </w:tcPr>
          <w:p w14:paraId="36F1DD45"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3rd Year </w:t>
            </w:r>
          </w:p>
        </w:tc>
        <w:tc>
          <w:tcPr>
            <w:tcW w:w="72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hideMark/>
          </w:tcPr>
          <w:p w14:paraId="77C27E06"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Avg. </w:t>
            </w:r>
          </w:p>
        </w:tc>
      </w:tr>
      <w:tr w:rsidR="00F13912" w14:paraId="2BD6F83B" w14:textId="77777777" w:rsidTr="00F14DA5">
        <w:trPr>
          <w:jc w:val="center"/>
        </w:trPr>
        <w:tc>
          <w:tcPr>
            <w:tcW w:w="10882" w:type="dxa"/>
            <w:gridSpan w:val="13"/>
            <w:tcBorders>
              <w:top w:val="single" w:sz="4" w:space="0" w:color="auto"/>
              <w:left w:val="single" w:sz="6" w:space="0" w:color="DDDDDD"/>
              <w:bottom w:val="single" w:sz="6" w:space="0" w:color="333333"/>
              <w:right w:val="single" w:sz="6" w:space="0" w:color="DDDDDD"/>
            </w:tcBorders>
            <w:shd w:val="clear" w:color="auto" w:fill="auto"/>
            <w:tcMar>
              <w:top w:w="75" w:type="dxa"/>
              <w:left w:w="75" w:type="dxa"/>
              <w:bottom w:w="75" w:type="dxa"/>
              <w:right w:w="75" w:type="dxa"/>
            </w:tcMar>
            <w:hideMark/>
          </w:tcPr>
          <w:p w14:paraId="1EBF4C18" w14:textId="77777777" w:rsidR="00F13912" w:rsidRDefault="00F13912" w:rsidP="00F14DA5">
            <w:pPr>
              <w:spacing w:after="0"/>
              <w:rPr>
                <w:rFonts w:ascii="&amp;quot" w:hAnsi="&amp;quot"/>
                <w:color w:val="333333"/>
                <w:sz w:val="17"/>
                <w:szCs w:val="17"/>
              </w:rPr>
            </w:pPr>
            <w:r>
              <w:rPr>
                <w:rStyle w:val="Strong"/>
                <w:rFonts w:ascii="&amp;quot" w:hAnsi="&amp;quot"/>
                <w:color w:val="333333"/>
                <w:sz w:val="17"/>
                <w:szCs w:val="17"/>
              </w:rPr>
              <w:t>LEHD: [employment</w:t>
            </w:r>
            <w:r>
              <w:rPr>
                <w:rFonts w:ascii="&amp;quot" w:hAnsi="&amp;quot"/>
                <w:color w:val="333333"/>
                <w:sz w:val="17"/>
                <w:szCs w:val="17"/>
              </w:rPr>
              <w:t>]</w:t>
            </w:r>
          </w:p>
        </w:tc>
      </w:tr>
      <w:tr w:rsidR="00F13912" w14:paraId="110C1B2C" w14:textId="77777777" w:rsidTr="00F41A69">
        <w:trPr>
          <w:jc w:val="center"/>
        </w:trPr>
        <w:tc>
          <w:tcPr>
            <w:tcW w:w="1432" w:type="dxa"/>
            <w:tcBorders>
              <w:top w:val="single" w:sz="6" w:space="0" w:color="DDDDDD"/>
              <w:left w:val="single" w:sz="6" w:space="0" w:color="DDDDDD"/>
              <w:bottom w:val="single" w:sz="6" w:space="0" w:color="DDDDDD"/>
              <w:right w:val="single" w:sz="6" w:space="0" w:color="DDDDDD"/>
            </w:tcBorders>
            <w:shd w:val="clear" w:color="auto" w:fill="auto"/>
            <w:tcMar>
              <w:top w:w="75" w:type="dxa"/>
              <w:left w:w="330" w:type="dxa"/>
              <w:bottom w:w="75" w:type="dxa"/>
              <w:right w:w="75" w:type="dxa"/>
            </w:tcMar>
            <w:hideMark/>
          </w:tcPr>
          <w:p w14:paraId="70FDBC28" w14:textId="77777777" w:rsidR="00F13912" w:rsidRPr="00F13912" w:rsidRDefault="00F13912" w:rsidP="00F13912">
            <w:pPr>
              <w:spacing w:after="0" w:line="236" w:lineRule="atLeast"/>
              <w:rPr>
                <w:rFonts w:ascii="&amp;quot" w:hAnsi="&amp;quot"/>
                <w:color w:val="333333"/>
                <w:sz w:val="17"/>
                <w:szCs w:val="17"/>
              </w:rPr>
            </w:pPr>
            <w:r w:rsidRPr="00F13912">
              <w:rPr>
                <w:rFonts w:ascii="&amp;quot" w:hAnsi="&amp;quot"/>
                <w:color w:val="333333"/>
                <w:sz w:val="17"/>
                <w:szCs w:val="17"/>
              </w:rPr>
              <w:t xml:space="preserve">Treatment </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284ABC"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25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1C7E00C"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-3.41%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BEAE65B"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-32.00%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93FB2A"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-17.65%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174662"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14.29%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F40C6C"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-11.79% </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8D5796"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47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65F2DA"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21.40%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227B78"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87.23%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E7A878" w14:textId="77777777" w:rsidR="00F13912" w:rsidRPr="00F13912" w:rsidRDefault="00F13912" w:rsidP="00F13912">
            <w:pPr>
              <w:spacing w:after="0"/>
              <w:jc w:val="center"/>
              <w:rPr>
                <w:rFonts w:ascii="&amp;quot" w:hAnsi="&amp;quot"/>
                <w:color w:val="333333"/>
                <w:sz w:val="17"/>
                <w:szCs w:val="17"/>
              </w:rPr>
            </w:pPr>
            <w:r w:rsidRPr="00F13912">
              <w:rPr>
                <w:rFonts w:ascii="&amp;quot" w:hAnsi="&amp;quot"/>
                <w:color w:val="333333"/>
                <w:sz w:val="17"/>
                <w:szCs w:val="17"/>
              </w:rPr>
              <w:t xml:space="preserve">95.45%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3709CA" w14:textId="77777777" w:rsidR="00F13912" w:rsidRPr="00F13912" w:rsidRDefault="00F13912" w:rsidP="00F13912">
            <w:pPr>
              <w:spacing w:after="0"/>
              <w:jc w:val="center"/>
              <w:rPr>
                <w:rFonts w:ascii="&amp;quot" w:hAnsi="&amp;quot"/>
                <w:color w:val="333333"/>
                <w:sz w:val="17"/>
                <w:szCs w:val="17"/>
              </w:rPr>
            </w:pPr>
            <w:r w:rsidRPr="00F13912">
              <w:rPr>
                <w:rFonts w:ascii="&amp;quot" w:hAnsi="&amp;quot"/>
                <w:color w:val="333333"/>
                <w:sz w:val="17"/>
                <w:szCs w:val="17"/>
              </w:rPr>
              <w:t xml:space="preserve">29.07%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7F7084" w14:textId="77777777" w:rsidR="00F13912" w:rsidRPr="00F13912" w:rsidRDefault="00F13912" w:rsidP="00F13912">
            <w:pPr>
              <w:spacing w:after="0"/>
              <w:jc w:val="center"/>
              <w:rPr>
                <w:rFonts w:ascii="&amp;quot" w:hAnsi="&amp;quot"/>
                <w:color w:val="333333"/>
                <w:sz w:val="17"/>
                <w:szCs w:val="17"/>
              </w:rPr>
            </w:pPr>
            <w:r w:rsidRPr="00F13912">
              <w:rPr>
                <w:rFonts w:ascii="&amp;quot" w:hAnsi="&amp;quot"/>
                <w:color w:val="333333"/>
                <w:sz w:val="17"/>
                <w:szCs w:val="17"/>
              </w:rPr>
              <w:t xml:space="preserve">70.59% </w:t>
            </w:r>
          </w:p>
        </w:tc>
      </w:tr>
      <w:tr w:rsidR="00F13912" w14:paraId="138046B1" w14:textId="77777777" w:rsidTr="00F41A69">
        <w:trPr>
          <w:jc w:val="center"/>
        </w:trPr>
        <w:tc>
          <w:tcPr>
            <w:tcW w:w="1432" w:type="dxa"/>
            <w:tcBorders>
              <w:top w:val="single" w:sz="6" w:space="0" w:color="DDDDDD"/>
              <w:left w:val="single" w:sz="6" w:space="0" w:color="DDDDDD"/>
              <w:bottom w:val="single" w:sz="6" w:space="0" w:color="DDDDDD"/>
              <w:right w:val="single" w:sz="6" w:space="0" w:color="DDDDDD"/>
            </w:tcBorders>
            <w:shd w:val="clear" w:color="auto" w:fill="auto"/>
            <w:tcMar>
              <w:top w:w="75" w:type="dxa"/>
              <w:left w:w="330" w:type="dxa"/>
              <w:bottom w:w="75" w:type="dxa"/>
              <w:right w:w="75" w:type="dxa"/>
            </w:tcMar>
          </w:tcPr>
          <w:p w14:paraId="187B28B3" w14:textId="77777777" w:rsidR="00F13912" w:rsidRPr="00F13912" w:rsidRDefault="00F13912" w:rsidP="00F13912">
            <w:pPr>
              <w:spacing w:after="0" w:line="236" w:lineRule="atLeast"/>
              <w:rPr>
                <w:rFonts w:ascii="&amp;quot" w:hAnsi="&amp;quot"/>
                <w:color w:val="333333"/>
                <w:sz w:val="17"/>
                <w:szCs w:val="17"/>
              </w:rPr>
            </w:pPr>
            <w:r w:rsidRPr="00F13912">
              <w:rPr>
                <w:rFonts w:ascii="&amp;quot" w:hAnsi="&amp;quot"/>
                <w:color w:val="333333"/>
                <w:sz w:val="17"/>
                <w:szCs w:val="17"/>
              </w:rPr>
              <w:t xml:space="preserve">Control: Shelby </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7D52578"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108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70B44E5"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-0.59%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65EF4AF"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14.81%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3DDC233"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0.00%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D701C8E"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-14.52%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104615B"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0.10% </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017BDDF"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113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9DBD760"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26.64%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1E23CAA"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-40.71%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F3E357B" w14:textId="77777777" w:rsidR="00F13912" w:rsidRPr="00F13912" w:rsidRDefault="00F13912" w:rsidP="00F13912">
            <w:pPr>
              <w:spacing w:after="0"/>
              <w:jc w:val="center"/>
              <w:rPr>
                <w:rFonts w:ascii="&amp;quot" w:hAnsi="&amp;quot"/>
                <w:color w:val="333333"/>
                <w:sz w:val="17"/>
                <w:szCs w:val="17"/>
              </w:rPr>
            </w:pPr>
            <w:r w:rsidRPr="00F13912">
              <w:rPr>
                <w:rFonts w:ascii="&amp;quot" w:hAnsi="&amp;quot"/>
                <w:color w:val="333333"/>
                <w:sz w:val="17"/>
                <w:szCs w:val="17"/>
              </w:rPr>
              <w:t xml:space="preserve">34.33%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0965C90" w14:textId="77777777" w:rsidR="00F13912" w:rsidRPr="00F13912" w:rsidRDefault="00F13912" w:rsidP="00F13912">
            <w:pPr>
              <w:spacing w:after="0"/>
              <w:jc w:val="center"/>
              <w:rPr>
                <w:rFonts w:ascii="&amp;quot" w:hAnsi="&amp;quot"/>
                <w:color w:val="333333"/>
                <w:sz w:val="17"/>
                <w:szCs w:val="17"/>
              </w:rPr>
            </w:pPr>
            <w:r w:rsidRPr="00F13912">
              <w:rPr>
                <w:rFonts w:ascii="&amp;quot" w:hAnsi="&amp;quot"/>
                <w:color w:val="333333"/>
                <w:sz w:val="17"/>
                <w:szCs w:val="17"/>
              </w:rPr>
              <w:t xml:space="preserve">27.78%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369F8F3" w14:textId="77777777" w:rsidR="00F13912" w:rsidRPr="00F13912" w:rsidRDefault="00F13912" w:rsidP="00F13912">
            <w:pPr>
              <w:spacing w:after="0"/>
              <w:jc w:val="center"/>
              <w:rPr>
                <w:rFonts w:ascii="&amp;quot" w:hAnsi="&amp;quot"/>
                <w:color w:val="333333"/>
                <w:sz w:val="17"/>
                <w:szCs w:val="17"/>
              </w:rPr>
            </w:pPr>
            <w:r w:rsidRPr="00F13912">
              <w:rPr>
                <w:rFonts w:ascii="&amp;quot" w:hAnsi="&amp;quot"/>
                <w:color w:val="333333"/>
                <w:sz w:val="17"/>
                <w:szCs w:val="17"/>
              </w:rPr>
              <w:t xml:space="preserve">7.13% </w:t>
            </w:r>
          </w:p>
        </w:tc>
      </w:tr>
      <w:tr w:rsidR="00F13912" w14:paraId="738A41E3" w14:textId="77777777" w:rsidTr="00F14DA5">
        <w:trPr>
          <w:jc w:val="center"/>
        </w:trPr>
        <w:tc>
          <w:tcPr>
            <w:tcW w:w="1432" w:type="dxa"/>
            <w:tcBorders>
              <w:top w:val="single" w:sz="6" w:space="0" w:color="DDDDDD"/>
              <w:left w:val="single" w:sz="6" w:space="0" w:color="DDDDDD"/>
              <w:bottom w:val="single" w:sz="4" w:space="0" w:color="auto"/>
              <w:right w:val="single" w:sz="6" w:space="0" w:color="DDDDDD"/>
            </w:tcBorders>
            <w:shd w:val="clear" w:color="auto" w:fill="auto"/>
            <w:tcMar>
              <w:top w:w="75" w:type="dxa"/>
              <w:left w:w="330" w:type="dxa"/>
              <w:bottom w:w="75" w:type="dxa"/>
              <w:right w:w="75" w:type="dxa"/>
            </w:tcMar>
          </w:tcPr>
          <w:p w14:paraId="3B24A18F" w14:textId="77777777" w:rsidR="00F13912" w:rsidRPr="00F13912" w:rsidRDefault="00F13912" w:rsidP="00F13912">
            <w:pPr>
              <w:spacing w:after="0" w:line="236" w:lineRule="atLeast"/>
              <w:rPr>
                <w:rFonts w:ascii="&amp;quot" w:hAnsi="&amp;quot"/>
                <w:color w:val="333333"/>
                <w:sz w:val="17"/>
                <w:szCs w:val="17"/>
              </w:rPr>
            </w:pPr>
            <w:r w:rsidRPr="00F13912">
              <w:rPr>
                <w:rFonts w:ascii="&amp;quot" w:hAnsi="&amp;quot"/>
                <w:color w:val="333333"/>
                <w:sz w:val="17"/>
                <w:szCs w:val="17"/>
              </w:rPr>
              <w:t xml:space="preserve">Control: Prospect </w:t>
            </w:r>
          </w:p>
        </w:tc>
        <w:tc>
          <w:tcPr>
            <w:tcW w:w="90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0756B9B4"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49 </w:t>
            </w:r>
          </w:p>
        </w:tc>
        <w:tc>
          <w:tcPr>
            <w:tcW w:w="72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251EDE32"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26.46% </w:t>
            </w:r>
          </w:p>
        </w:tc>
        <w:tc>
          <w:tcPr>
            <w:tcW w:w="81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2C3EF9A9"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-59.18% </w:t>
            </w:r>
          </w:p>
        </w:tc>
        <w:tc>
          <w:tcPr>
            <w:tcW w:w="72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06FC858A"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-50.00% </w:t>
            </w:r>
          </w:p>
        </w:tc>
        <w:tc>
          <w:tcPr>
            <w:tcW w:w="81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209BBB01"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100.00% </w:t>
            </w:r>
          </w:p>
        </w:tc>
        <w:tc>
          <w:tcPr>
            <w:tcW w:w="72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1161CDDD"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-3.06% </w:t>
            </w:r>
          </w:p>
        </w:tc>
        <w:tc>
          <w:tcPr>
            <w:tcW w:w="90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7023491C"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37 </w:t>
            </w:r>
          </w:p>
        </w:tc>
        <w:tc>
          <w:tcPr>
            <w:tcW w:w="81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14B8AF5C"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62.50% </w:t>
            </w:r>
          </w:p>
        </w:tc>
        <w:tc>
          <w:tcPr>
            <w:tcW w:w="81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0C2C1D63" w14:textId="77777777" w:rsidR="00F13912" w:rsidRPr="00F13912" w:rsidRDefault="00F13912" w:rsidP="00F13912">
            <w:pPr>
              <w:spacing w:after="0" w:line="236" w:lineRule="atLeast"/>
              <w:jc w:val="center"/>
              <w:rPr>
                <w:rFonts w:ascii="&amp;quot" w:hAnsi="&amp;quot"/>
                <w:color w:val="333333"/>
                <w:sz w:val="17"/>
                <w:szCs w:val="17"/>
              </w:rPr>
            </w:pPr>
            <w:r w:rsidRPr="00F13912">
              <w:rPr>
                <w:rFonts w:ascii="&amp;quot" w:hAnsi="&amp;quot"/>
                <w:color w:val="333333"/>
                <w:sz w:val="17"/>
                <w:szCs w:val="17"/>
              </w:rPr>
              <w:t xml:space="preserve">89.19% </w:t>
            </w:r>
          </w:p>
        </w:tc>
        <w:tc>
          <w:tcPr>
            <w:tcW w:w="81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137024F3" w14:textId="77777777" w:rsidR="00F13912" w:rsidRPr="00F13912" w:rsidRDefault="00F13912" w:rsidP="00F13912">
            <w:pPr>
              <w:spacing w:after="0"/>
              <w:jc w:val="center"/>
              <w:rPr>
                <w:rFonts w:ascii="&amp;quot" w:hAnsi="&amp;quot"/>
                <w:color w:val="333333"/>
                <w:sz w:val="17"/>
                <w:szCs w:val="17"/>
              </w:rPr>
            </w:pPr>
            <w:r w:rsidRPr="00F13912">
              <w:rPr>
                <w:rFonts w:ascii="&amp;quot" w:hAnsi="&amp;quot"/>
                <w:color w:val="333333"/>
                <w:sz w:val="17"/>
                <w:szCs w:val="17"/>
              </w:rPr>
              <w:t xml:space="preserve">15.71% </w:t>
            </w:r>
          </w:p>
        </w:tc>
        <w:tc>
          <w:tcPr>
            <w:tcW w:w="72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50464AC7" w14:textId="77777777" w:rsidR="00F13912" w:rsidRPr="00F13912" w:rsidRDefault="00F13912" w:rsidP="00F13912">
            <w:pPr>
              <w:spacing w:after="0"/>
              <w:jc w:val="center"/>
              <w:rPr>
                <w:rFonts w:ascii="&amp;quot" w:hAnsi="&amp;quot"/>
                <w:color w:val="333333"/>
                <w:sz w:val="17"/>
                <w:szCs w:val="17"/>
              </w:rPr>
            </w:pPr>
            <w:r w:rsidRPr="00F13912">
              <w:rPr>
                <w:rFonts w:ascii="&amp;quot" w:hAnsi="&amp;quot"/>
                <w:color w:val="333333"/>
                <w:sz w:val="17"/>
                <w:szCs w:val="17"/>
              </w:rPr>
              <w:t xml:space="preserve">16.05% </w:t>
            </w:r>
          </w:p>
        </w:tc>
        <w:tc>
          <w:tcPr>
            <w:tcW w:w="72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33AF9F97" w14:textId="77777777" w:rsidR="00F13912" w:rsidRPr="00F13912" w:rsidRDefault="00F13912" w:rsidP="00F13912">
            <w:pPr>
              <w:spacing w:after="0"/>
              <w:jc w:val="center"/>
              <w:rPr>
                <w:rFonts w:ascii="&amp;quot" w:hAnsi="&amp;quot"/>
                <w:color w:val="333333"/>
                <w:sz w:val="17"/>
                <w:szCs w:val="17"/>
              </w:rPr>
            </w:pPr>
            <w:r w:rsidRPr="00F13912">
              <w:rPr>
                <w:rFonts w:ascii="&amp;quot" w:hAnsi="&amp;quot"/>
                <w:color w:val="333333"/>
                <w:sz w:val="17"/>
                <w:szCs w:val="17"/>
              </w:rPr>
              <w:t xml:space="preserve">40.32% </w:t>
            </w:r>
          </w:p>
        </w:tc>
      </w:tr>
      <w:tr w:rsidR="00F13912" w14:paraId="3E2091A9" w14:textId="77777777" w:rsidTr="00F14DA5">
        <w:trPr>
          <w:jc w:val="center"/>
        </w:trPr>
        <w:tc>
          <w:tcPr>
            <w:tcW w:w="10882" w:type="dxa"/>
            <w:gridSpan w:val="13"/>
            <w:tcBorders>
              <w:top w:val="single" w:sz="4" w:space="0" w:color="auto"/>
              <w:left w:val="single" w:sz="6" w:space="0" w:color="DDDDDD"/>
              <w:bottom w:val="single" w:sz="6" w:space="0" w:color="333333"/>
              <w:right w:val="single" w:sz="6" w:space="0" w:color="DDDDDD"/>
            </w:tcBorders>
            <w:shd w:val="clear" w:color="auto" w:fill="auto"/>
            <w:tcMar>
              <w:top w:w="75" w:type="dxa"/>
              <w:left w:w="75" w:type="dxa"/>
              <w:bottom w:w="75" w:type="dxa"/>
              <w:right w:w="75" w:type="dxa"/>
            </w:tcMar>
            <w:hideMark/>
          </w:tcPr>
          <w:p w14:paraId="1A0EA019" w14:textId="77777777" w:rsidR="00F13912" w:rsidRDefault="00F13912" w:rsidP="00F13912">
            <w:pPr>
              <w:spacing w:after="0"/>
              <w:rPr>
                <w:rFonts w:ascii="&amp;quot" w:hAnsi="&amp;quot"/>
                <w:color w:val="333333"/>
                <w:sz w:val="17"/>
                <w:szCs w:val="17"/>
              </w:rPr>
            </w:pPr>
            <w:r w:rsidRPr="00F13912">
              <w:rPr>
                <w:rStyle w:val="Strong"/>
                <w:rFonts w:ascii="&amp;quot" w:hAnsi="&amp;quot"/>
                <w:color w:val="333333"/>
                <w:sz w:val="17"/>
                <w:szCs w:val="17"/>
              </w:rPr>
              <w:t>QCEW: [employment]</w:t>
            </w:r>
          </w:p>
        </w:tc>
      </w:tr>
      <w:tr w:rsidR="00F13912" w14:paraId="0CF913A1" w14:textId="77777777" w:rsidTr="00F41A69">
        <w:trPr>
          <w:jc w:val="center"/>
        </w:trPr>
        <w:tc>
          <w:tcPr>
            <w:tcW w:w="1432" w:type="dxa"/>
            <w:tcBorders>
              <w:top w:val="single" w:sz="6" w:space="0" w:color="DDDDDD"/>
              <w:left w:val="single" w:sz="6" w:space="0" w:color="DDDDDD"/>
              <w:bottom w:val="single" w:sz="6" w:space="0" w:color="DDDDDD"/>
              <w:right w:val="single" w:sz="6" w:space="0" w:color="DDDDDD"/>
            </w:tcBorders>
            <w:shd w:val="clear" w:color="auto" w:fill="auto"/>
            <w:tcMar>
              <w:top w:w="75" w:type="dxa"/>
              <w:left w:w="330" w:type="dxa"/>
              <w:bottom w:w="75" w:type="dxa"/>
              <w:right w:w="75" w:type="dxa"/>
            </w:tcMar>
            <w:hideMark/>
          </w:tcPr>
          <w:p w14:paraId="0280CB2D" w14:textId="77777777" w:rsidR="00F13912" w:rsidRDefault="00F13912" w:rsidP="00F13912">
            <w:pPr>
              <w:spacing w:after="0" w:line="236" w:lineRule="atLeast"/>
              <w:rPr>
                <w:rFonts w:ascii="&amp;quot" w:hAnsi="&amp;quot"/>
                <w:color w:val="333333"/>
                <w:sz w:val="17"/>
                <w:szCs w:val="17"/>
              </w:rPr>
            </w:pPr>
            <w:r>
              <w:rPr>
                <w:rFonts w:ascii="&amp;quot" w:hAnsi="&amp;quot"/>
                <w:color w:val="333333"/>
                <w:sz w:val="17"/>
                <w:szCs w:val="17"/>
              </w:rPr>
              <w:t xml:space="preserve">Treatment </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FF3B77"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990DF6"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5B97D05"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FDFCCF"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D882CA"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1E6750"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6E1912"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42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C47313"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41.01%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47F67D5"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191.67%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BF3E9A"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62.65%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D18D2F"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23.34%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222BD9"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92.55% </w:t>
            </w:r>
          </w:p>
        </w:tc>
      </w:tr>
      <w:tr w:rsidR="00F13912" w14:paraId="12A9E69E" w14:textId="77777777" w:rsidTr="00F41A69">
        <w:trPr>
          <w:jc w:val="center"/>
        </w:trPr>
        <w:tc>
          <w:tcPr>
            <w:tcW w:w="1432" w:type="dxa"/>
            <w:tcBorders>
              <w:top w:val="single" w:sz="6" w:space="0" w:color="DDDDDD"/>
              <w:left w:val="single" w:sz="6" w:space="0" w:color="DDDDDD"/>
              <w:bottom w:val="single" w:sz="6" w:space="0" w:color="DDDDDD"/>
              <w:right w:val="single" w:sz="6" w:space="0" w:color="DDDDDD"/>
            </w:tcBorders>
            <w:shd w:val="clear" w:color="auto" w:fill="auto"/>
            <w:tcMar>
              <w:top w:w="75" w:type="dxa"/>
              <w:left w:w="330" w:type="dxa"/>
              <w:bottom w:w="75" w:type="dxa"/>
              <w:right w:w="75" w:type="dxa"/>
            </w:tcMar>
          </w:tcPr>
          <w:p w14:paraId="4A72BB43" w14:textId="77777777" w:rsidR="00F13912" w:rsidRDefault="00F13912" w:rsidP="00F13912">
            <w:pPr>
              <w:spacing w:after="0" w:line="236" w:lineRule="atLeast"/>
              <w:rPr>
                <w:rFonts w:ascii="&amp;quot" w:hAnsi="&amp;quot"/>
                <w:color w:val="333333"/>
                <w:sz w:val="17"/>
                <w:szCs w:val="17"/>
              </w:rPr>
            </w:pPr>
            <w:r>
              <w:rPr>
                <w:rFonts w:ascii="&amp;quot" w:hAnsi="&amp;quot"/>
                <w:color w:val="333333"/>
                <w:sz w:val="17"/>
                <w:szCs w:val="17"/>
              </w:rPr>
              <w:t xml:space="preserve">Control: Shelby </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E86E6E3"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8545B60"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7421B3D"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E1BB0D4"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75B7B4C"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B95FAFD"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3CA7070"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72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84838D3"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-1.68%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5B8E312"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1.04%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0EC2360"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7.90%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E15DAAF"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25.80%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773705A"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11.58% </w:t>
            </w:r>
          </w:p>
        </w:tc>
      </w:tr>
      <w:tr w:rsidR="00F13912" w14:paraId="435F0A39" w14:textId="77777777" w:rsidTr="00F14DA5">
        <w:trPr>
          <w:jc w:val="center"/>
        </w:trPr>
        <w:tc>
          <w:tcPr>
            <w:tcW w:w="1432" w:type="dxa"/>
            <w:tcBorders>
              <w:top w:val="single" w:sz="6" w:space="0" w:color="DDDDDD"/>
              <w:left w:val="single" w:sz="6" w:space="0" w:color="DDDDDD"/>
              <w:bottom w:val="single" w:sz="4" w:space="0" w:color="auto"/>
              <w:right w:val="single" w:sz="6" w:space="0" w:color="DDDDDD"/>
            </w:tcBorders>
            <w:shd w:val="clear" w:color="auto" w:fill="auto"/>
            <w:tcMar>
              <w:top w:w="75" w:type="dxa"/>
              <w:left w:w="330" w:type="dxa"/>
              <w:bottom w:w="75" w:type="dxa"/>
              <w:right w:w="75" w:type="dxa"/>
            </w:tcMar>
          </w:tcPr>
          <w:p w14:paraId="1B00FE89" w14:textId="77777777" w:rsidR="00F13912" w:rsidRDefault="00F13912" w:rsidP="00F13912">
            <w:pPr>
              <w:spacing w:after="0" w:line="236" w:lineRule="atLeast"/>
              <w:rPr>
                <w:rFonts w:ascii="&amp;quot" w:hAnsi="&amp;quot"/>
                <w:color w:val="333333"/>
                <w:sz w:val="17"/>
                <w:szCs w:val="17"/>
              </w:rPr>
            </w:pPr>
            <w:r>
              <w:rPr>
                <w:rFonts w:ascii="&amp;quot" w:hAnsi="&amp;quot"/>
                <w:color w:val="333333"/>
                <w:sz w:val="17"/>
                <w:szCs w:val="17"/>
              </w:rPr>
              <w:lastRenderedPageBreak/>
              <w:t xml:space="preserve">Control: Prospect </w:t>
            </w:r>
          </w:p>
        </w:tc>
        <w:tc>
          <w:tcPr>
            <w:tcW w:w="90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10319E05"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72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5A87EDE5"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81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2BBE605B"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72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418347B1"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81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646239D3"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72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27513C67"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90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728712B5"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36 </w:t>
            </w:r>
          </w:p>
        </w:tc>
        <w:tc>
          <w:tcPr>
            <w:tcW w:w="81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42E59B0C"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6.20% </w:t>
            </w:r>
          </w:p>
        </w:tc>
        <w:tc>
          <w:tcPr>
            <w:tcW w:w="81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7D79E768"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40.97% </w:t>
            </w:r>
          </w:p>
        </w:tc>
        <w:tc>
          <w:tcPr>
            <w:tcW w:w="81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48AF8EFF"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-3.45% </w:t>
            </w:r>
          </w:p>
        </w:tc>
        <w:tc>
          <w:tcPr>
            <w:tcW w:w="72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120D9D30"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6.12% </w:t>
            </w:r>
          </w:p>
        </w:tc>
        <w:tc>
          <w:tcPr>
            <w:tcW w:w="720" w:type="dxa"/>
            <w:tcBorders>
              <w:top w:val="single" w:sz="6" w:space="0" w:color="DDDDDD"/>
              <w:left w:val="single" w:sz="6" w:space="0" w:color="DDDDDD"/>
              <w:bottom w:val="single" w:sz="4" w:space="0" w:color="auto"/>
              <w:right w:val="single" w:sz="6" w:space="0" w:color="DDDDDD"/>
            </w:tcBorders>
            <w:shd w:val="clear" w:color="auto" w:fill="auto"/>
            <w:tcMar>
              <w:top w:w="75" w:type="dxa"/>
              <w:left w:w="75" w:type="dxa"/>
              <w:bottom w:w="75" w:type="dxa"/>
              <w:right w:w="75" w:type="dxa"/>
            </w:tcMar>
          </w:tcPr>
          <w:p w14:paraId="2F53F808"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 xml:space="preserve">14.55% </w:t>
            </w:r>
          </w:p>
        </w:tc>
      </w:tr>
      <w:tr w:rsidR="00F13912" w14:paraId="21CBFC8C" w14:textId="77777777" w:rsidTr="00F14DA5">
        <w:trPr>
          <w:jc w:val="center"/>
        </w:trPr>
        <w:tc>
          <w:tcPr>
            <w:tcW w:w="10882" w:type="dxa"/>
            <w:gridSpan w:val="13"/>
            <w:tcBorders>
              <w:top w:val="single" w:sz="4" w:space="0" w:color="auto"/>
              <w:left w:val="single" w:sz="6" w:space="0" w:color="DDDDDD"/>
              <w:bottom w:val="single" w:sz="6" w:space="0" w:color="333333"/>
              <w:right w:val="single" w:sz="6" w:space="0" w:color="DDDDDD"/>
            </w:tcBorders>
            <w:shd w:val="clear" w:color="auto" w:fill="auto"/>
            <w:tcMar>
              <w:top w:w="75" w:type="dxa"/>
              <w:left w:w="75" w:type="dxa"/>
              <w:bottom w:w="75" w:type="dxa"/>
              <w:right w:w="75" w:type="dxa"/>
            </w:tcMar>
            <w:hideMark/>
          </w:tcPr>
          <w:p w14:paraId="3017F2D7" w14:textId="77777777" w:rsidR="00F13912" w:rsidRDefault="00F13912" w:rsidP="00F13912">
            <w:pPr>
              <w:spacing w:after="0"/>
              <w:rPr>
                <w:rFonts w:ascii="&amp;quot" w:hAnsi="&amp;quot"/>
                <w:color w:val="333333"/>
                <w:sz w:val="17"/>
                <w:szCs w:val="17"/>
              </w:rPr>
            </w:pPr>
            <w:r w:rsidRPr="00F13912">
              <w:rPr>
                <w:rStyle w:val="Strong"/>
                <w:rFonts w:ascii="&amp;quot" w:hAnsi="&amp;quot"/>
                <w:color w:val="333333"/>
                <w:sz w:val="17"/>
                <w:szCs w:val="17"/>
              </w:rPr>
              <w:t>Sales: [sales tax, $]</w:t>
            </w:r>
          </w:p>
        </w:tc>
      </w:tr>
      <w:tr w:rsidR="00F13912" w14:paraId="7125621F" w14:textId="77777777" w:rsidTr="00F41A69">
        <w:trPr>
          <w:jc w:val="center"/>
        </w:trPr>
        <w:tc>
          <w:tcPr>
            <w:tcW w:w="1432" w:type="dxa"/>
            <w:tcBorders>
              <w:top w:val="single" w:sz="6" w:space="0" w:color="DDDDDD"/>
              <w:left w:val="single" w:sz="6" w:space="0" w:color="DDDDDD"/>
              <w:bottom w:val="single" w:sz="6" w:space="0" w:color="DDDDDD"/>
              <w:right w:val="single" w:sz="6" w:space="0" w:color="DDDDDD"/>
            </w:tcBorders>
            <w:shd w:val="clear" w:color="auto" w:fill="auto"/>
            <w:tcMar>
              <w:top w:w="75" w:type="dxa"/>
              <w:left w:w="330" w:type="dxa"/>
              <w:bottom w:w="75" w:type="dxa"/>
              <w:right w:w="75" w:type="dxa"/>
            </w:tcMar>
          </w:tcPr>
          <w:p w14:paraId="29A4438E" w14:textId="77777777" w:rsidR="00F13912" w:rsidRDefault="00F13912" w:rsidP="00F13912">
            <w:pPr>
              <w:spacing w:after="0" w:line="236" w:lineRule="atLeast"/>
              <w:rPr>
                <w:rFonts w:ascii="&amp;quot" w:hAnsi="&amp;quot"/>
                <w:color w:val="333333"/>
                <w:sz w:val="17"/>
                <w:szCs w:val="17"/>
              </w:rPr>
            </w:pPr>
          </w:p>
        </w:tc>
        <w:tc>
          <w:tcPr>
            <w:tcW w:w="1620" w:type="dxa"/>
            <w:gridSpan w:val="2"/>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tcPr>
          <w:p w14:paraId="1DC05702" w14:textId="77777777" w:rsidR="00F13912" w:rsidRDefault="00F13912" w:rsidP="00F13912">
            <w:pPr>
              <w:spacing w:after="0" w:line="236" w:lineRule="atLeast"/>
              <w:jc w:val="center"/>
              <w:rPr>
                <w:rFonts w:ascii="&amp;quot" w:hAnsi="&amp;quot"/>
                <w:color w:val="333333"/>
                <w:sz w:val="17"/>
                <w:szCs w:val="17"/>
              </w:rPr>
            </w:pPr>
          </w:p>
        </w:tc>
        <w:tc>
          <w:tcPr>
            <w:tcW w:w="153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6D6B8F2" w14:textId="77777777" w:rsidR="00F13912" w:rsidRPr="00F13912" w:rsidRDefault="00F13912" w:rsidP="00F13912">
            <w:pPr>
              <w:spacing w:after="0" w:line="236" w:lineRule="atLeast"/>
              <w:jc w:val="center"/>
              <w:rPr>
                <w:rFonts w:ascii="&amp;quot" w:hAnsi="&amp;quot"/>
                <w:b/>
                <w:color w:val="333333"/>
                <w:sz w:val="17"/>
                <w:szCs w:val="17"/>
              </w:rPr>
            </w:pPr>
            <w:r w:rsidRPr="00F13912">
              <w:rPr>
                <w:rFonts w:ascii="&amp;quot" w:hAnsi="&amp;quot"/>
                <w:b/>
                <w:color w:val="333333"/>
                <w:sz w:val="17"/>
                <w:szCs w:val="17"/>
              </w:rPr>
              <w:t>Baseline</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6821839" w14:textId="77777777" w:rsidR="00F13912" w:rsidRPr="00F13912" w:rsidRDefault="00F13912" w:rsidP="00F13912">
            <w:pPr>
              <w:spacing w:after="0" w:line="236" w:lineRule="atLeast"/>
              <w:jc w:val="center"/>
              <w:rPr>
                <w:rFonts w:ascii="&amp;quot" w:hAnsi="&amp;quot"/>
                <w:b/>
                <w:color w:val="333333"/>
                <w:sz w:val="17"/>
                <w:szCs w:val="17"/>
              </w:rPr>
            </w:pPr>
            <w:r w:rsidRPr="00F13912">
              <w:rPr>
                <w:rFonts w:ascii="&amp;quot" w:hAnsi="&amp;quot"/>
                <w:b/>
                <w:color w:val="333333"/>
                <w:sz w:val="17"/>
                <w:szCs w:val="17"/>
              </w:rPr>
              <w:t>Pre-Growth</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vAlign w:val="bottom"/>
          </w:tcPr>
          <w:p w14:paraId="67E8035E" w14:textId="77777777" w:rsidR="00F13912" w:rsidRPr="00F13912" w:rsidRDefault="00F13912" w:rsidP="00F13912">
            <w:pPr>
              <w:spacing w:after="0" w:line="236" w:lineRule="atLeast"/>
              <w:jc w:val="center"/>
              <w:rPr>
                <w:rFonts w:ascii="&amp;quot" w:hAnsi="&amp;quot"/>
                <w:b/>
                <w:color w:val="333333"/>
                <w:sz w:val="17"/>
                <w:szCs w:val="17"/>
              </w:rPr>
            </w:pPr>
            <w:r w:rsidRPr="00F13912">
              <w:rPr>
                <w:rFonts w:ascii="&amp;quot" w:hAnsi="&amp;quot"/>
                <w:b/>
                <w:color w:val="333333"/>
                <w:sz w:val="17"/>
                <w:szCs w:val="17"/>
              </w:rPr>
              <w:t xml:space="preserve">1st Year </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vAlign w:val="bottom"/>
          </w:tcPr>
          <w:p w14:paraId="4AD623FC" w14:textId="77777777" w:rsidR="00F13912" w:rsidRPr="00F13912" w:rsidRDefault="00F13912" w:rsidP="00F13912">
            <w:pPr>
              <w:spacing w:after="0" w:line="236" w:lineRule="atLeast"/>
              <w:jc w:val="center"/>
              <w:rPr>
                <w:rFonts w:ascii="&amp;quot" w:hAnsi="&amp;quot"/>
                <w:b/>
                <w:color w:val="333333"/>
                <w:sz w:val="17"/>
                <w:szCs w:val="17"/>
              </w:rPr>
            </w:pPr>
            <w:r w:rsidRPr="00F13912">
              <w:rPr>
                <w:rFonts w:ascii="&amp;quot" w:hAnsi="&amp;quot"/>
                <w:b/>
                <w:color w:val="333333"/>
                <w:sz w:val="17"/>
                <w:szCs w:val="17"/>
              </w:rPr>
              <w:t xml:space="preserve">2nd Year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vAlign w:val="bottom"/>
          </w:tcPr>
          <w:p w14:paraId="142F5789" w14:textId="77777777" w:rsidR="00F13912" w:rsidRPr="00F13912" w:rsidRDefault="00F13912" w:rsidP="00F13912">
            <w:pPr>
              <w:spacing w:after="0" w:line="236" w:lineRule="atLeast"/>
              <w:jc w:val="center"/>
              <w:rPr>
                <w:rFonts w:ascii="&amp;quot" w:hAnsi="&amp;quot"/>
                <w:b/>
                <w:color w:val="333333"/>
                <w:sz w:val="17"/>
                <w:szCs w:val="17"/>
              </w:rPr>
            </w:pPr>
            <w:r w:rsidRPr="00F13912">
              <w:rPr>
                <w:rFonts w:ascii="&amp;quot" w:hAnsi="&amp;quot"/>
                <w:b/>
                <w:color w:val="333333"/>
                <w:sz w:val="17"/>
                <w:szCs w:val="17"/>
              </w:rPr>
              <w:t xml:space="preserve">3rd Year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vAlign w:val="bottom"/>
          </w:tcPr>
          <w:p w14:paraId="773DE634" w14:textId="77777777" w:rsidR="00F13912" w:rsidRPr="00F13912" w:rsidRDefault="00F13912" w:rsidP="00F13912">
            <w:pPr>
              <w:spacing w:after="0" w:line="236" w:lineRule="atLeast"/>
              <w:jc w:val="center"/>
              <w:rPr>
                <w:rFonts w:ascii="&amp;quot" w:hAnsi="&amp;quot"/>
                <w:b/>
                <w:color w:val="333333"/>
                <w:sz w:val="17"/>
                <w:szCs w:val="17"/>
              </w:rPr>
            </w:pPr>
            <w:r w:rsidRPr="00F13912">
              <w:rPr>
                <w:rFonts w:ascii="&amp;quot" w:hAnsi="&amp;quot"/>
                <w:b/>
                <w:color w:val="333333"/>
                <w:sz w:val="17"/>
                <w:szCs w:val="17"/>
              </w:rPr>
              <w:t xml:space="preserve">Avg. </w:t>
            </w:r>
          </w:p>
        </w:tc>
        <w:tc>
          <w:tcPr>
            <w:tcW w:w="2250" w:type="dxa"/>
            <w:gridSpan w:val="3"/>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tcPr>
          <w:p w14:paraId="1CB54504" w14:textId="77777777" w:rsidR="00F13912" w:rsidRDefault="00F13912" w:rsidP="00F13912">
            <w:pPr>
              <w:spacing w:after="0"/>
              <w:jc w:val="center"/>
              <w:rPr>
                <w:rFonts w:ascii="&amp;quot" w:hAnsi="&amp;quot"/>
                <w:color w:val="333333"/>
                <w:sz w:val="17"/>
                <w:szCs w:val="17"/>
              </w:rPr>
            </w:pPr>
          </w:p>
        </w:tc>
      </w:tr>
      <w:tr w:rsidR="00F13912" w14:paraId="6BD777B0" w14:textId="77777777" w:rsidTr="00F41A69">
        <w:trPr>
          <w:jc w:val="center"/>
        </w:trPr>
        <w:tc>
          <w:tcPr>
            <w:tcW w:w="1432" w:type="dxa"/>
            <w:tcBorders>
              <w:top w:val="single" w:sz="6" w:space="0" w:color="DDDDDD"/>
              <w:left w:val="single" w:sz="6" w:space="0" w:color="DDDDDD"/>
              <w:bottom w:val="single" w:sz="6" w:space="0" w:color="DDDDDD"/>
              <w:right w:val="single" w:sz="6" w:space="0" w:color="DDDDDD"/>
            </w:tcBorders>
            <w:shd w:val="clear" w:color="auto" w:fill="auto"/>
            <w:tcMar>
              <w:top w:w="75" w:type="dxa"/>
              <w:left w:w="330" w:type="dxa"/>
              <w:bottom w:w="75" w:type="dxa"/>
              <w:right w:w="75" w:type="dxa"/>
            </w:tcMar>
            <w:hideMark/>
          </w:tcPr>
          <w:p w14:paraId="42323DE4" w14:textId="77777777" w:rsidR="00F13912" w:rsidRDefault="00F13912" w:rsidP="00F13912">
            <w:pPr>
              <w:spacing w:after="0" w:line="236" w:lineRule="atLeast"/>
              <w:rPr>
                <w:rFonts w:ascii="&amp;quot" w:hAnsi="&amp;quot"/>
                <w:color w:val="333333"/>
                <w:sz w:val="17"/>
                <w:szCs w:val="17"/>
              </w:rPr>
            </w:pPr>
            <w:r>
              <w:rPr>
                <w:rFonts w:ascii="&amp;quot" w:hAnsi="&amp;quot"/>
                <w:color w:val="333333"/>
                <w:sz w:val="17"/>
                <w:szCs w:val="17"/>
              </w:rPr>
              <w:t xml:space="preserve">Treatment </w:t>
            </w:r>
          </w:p>
        </w:tc>
        <w:tc>
          <w:tcPr>
            <w:tcW w:w="1620" w:type="dxa"/>
            <w:gridSpan w:val="2"/>
            <w:vMerge/>
            <w:tcBorders>
              <w:left w:val="single" w:sz="6" w:space="0" w:color="DDDDDD"/>
              <w:right w:val="single" w:sz="6" w:space="0" w:color="DDDDDD"/>
            </w:tcBorders>
            <w:shd w:val="clear" w:color="auto" w:fill="auto"/>
            <w:tcMar>
              <w:top w:w="75" w:type="dxa"/>
              <w:left w:w="75" w:type="dxa"/>
              <w:bottom w:w="75" w:type="dxa"/>
              <w:right w:w="75" w:type="dxa"/>
            </w:tcMar>
            <w:hideMark/>
          </w:tcPr>
          <w:p w14:paraId="1C7D2CC5" w14:textId="77777777" w:rsidR="00F13912" w:rsidRDefault="00F13912" w:rsidP="00F13912">
            <w:pPr>
              <w:spacing w:after="0" w:line="236" w:lineRule="atLeast"/>
              <w:jc w:val="center"/>
              <w:rPr>
                <w:rFonts w:ascii="&amp;quot" w:hAnsi="&amp;quot"/>
                <w:color w:val="333333"/>
                <w:sz w:val="17"/>
                <w:szCs w:val="17"/>
              </w:rPr>
            </w:pPr>
          </w:p>
        </w:tc>
        <w:tc>
          <w:tcPr>
            <w:tcW w:w="153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2B4C59"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404,527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1CB072"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37.08%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A9F582"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87.85% </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33C4BE1"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104.99%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B37AD70"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-25.45%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2056C18"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55.80% </w:t>
            </w:r>
          </w:p>
        </w:tc>
        <w:tc>
          <w:tcPr>
            <w:tcW w:w="2250" w:type="dxa"/>
            <w:gridSpan w:val="3"/>
            <w:vMerge/>
            <w:tcBorders>
              <w:left w:val="single" w:sz="6" w:space="0" w:color="DDDDDD"/>
              <w:right w:val="single" w:sz="6" w:space="0" w:color="DDDDDD"/>
            </w:tcBorders>
            <w:shd w:val="clear" w:color="auto" w:fill="auto"/>
            <w:tcMar>
              <w:top w:w="75" w:type="dxa"/>
              <w:left w:w="75" w:type="dxa"/>
              <w:bottom w:w="75" w:type="dxa"/>
              <w:right w:w="75" w:type="dxa"/>
            </w:tcMar>
          </w:tcPr>
          <w:p w14:paraId="0510AD5D" w14:textId="77777777" w:rsidR="00F13912" w:rsidRDefault="00F13912" w:rsidP="00F13912">
            <w:pPr>
              <w:spacing w:after="0"/>
              <w:jc w:val="center"/>
              <w:rPr>
                <w:rFonts w:ascii="&amp;quot" w:hAnsi="&amp;quot"/>
                <w:color w:val="333333"/>
                <w:sz w:val="17"/>
                <w:szCs w:val="17"/>
              </w:rPr>
            </w:pPr>
          </w:p>
        </w:tc>
      </w:tr>
      <w:tr w:rsidR="00F13912" w14:paraId="10E46B9D" w14:textId="77777777" w:rsidTr="00F41A69">
        <w:trPr>
          <w:jc w:val="center"/>
        </w:trPr>
        <w:tc>
          <w:tcPr>
            <w:tcW w:w="1432" w:type="dxa"/>
            <w:tcBorders>
              <w:top w:val="single" w:sz="6" w:space="0" w:color="DDDDDD"/>
              <w:left w:val="single" w:sz="6" w:space="0" w:color="DDDDDD"/>
              <w:bottom w:val="single" w:sz="6" w:space="0" w:color="DDDDDD"/>
              <w:right w:val="single" w:sz="6" w:space="0" w:color="DDDDDD"/>
            </w:tcBorders>
            <w:shd w:val="clear" w:color="auto" w:fill="auto"/>
            <w:tcMar>
              <w:top w:w="75" w:type="dxa"/>
              <w:left w:w="330" w:type="dxa"/>
              <w:bottom w:w="75" w:type="dxa"/>
              <w:right w:w="75" w:type="dxa"/>
            </w:tcMar>
          </w:tcPr>
          <w:p w14:paraId="44178FE7" w14:textId="77777777" w:rsidR="00F13912" w:rsidRDefault="00F13912" w:rsidP="00F13912">
            <w:pPr>
              <w:spacing w:after="0" w:line="236" w:lineRule="atLeast"/>
              <w:rPr>
                <w:rFonts w:ascii="&amp;quot" w:hAnsi="&amp;quot"/>
                <w:color w:val="333333"/>
                <w:sz w:val="17"/>
                <w:szCs w:val="17"/>
              </w:rPr>
            </w:pPr>
            <w:r>
              <w:rPr>
                <w:rFonts w:ascii="&amp;quot" w:hAnsi="&amp;quot"/>
                <w:color w:val="333333"/>
                <w:sz w:val="17"/>
                <w:szCs w:val="17"/>
              </w:rPr>
              <w:t xml:space="preserve">Control: Shelby </w:t>
            </w:r>
          </w:p>
        </w:tc>
        <w:tc>
          <w:tcPr>
            <w:tcW w:w="1620" w:type="dxa"/>
            <w:gridSpan w:val="2"/>
            <w:vMerge/>
            <w:tcBorders>
              <w:left w:val="single" w:sz="6" w:space="0" w:color="DDDDDD"/>
              <w:right w:val="single" w:sz="6" w:space="0" w:color="DDDDDD"/>
            </w:tcBorders>
            <w:shd w:val="clear" w:color="auto" w:fill="auto"/>
            <w:tcMar>
              <w:top w:w="75" w:type="dxa"/>
              <w:left w:w="75" w:type="dxa"/>
              <w:bottom w:w="75" w:type="dxa"/>
              <w:right w:w="75" w:type="dxa"/>
            </w:tcMar>
          </w:tcPr>
          <w:p w14:paraId="56F85939" w14:textId="77777777" w:rsidR="00F13912" w:rsidRDefault="00F13912" w:rsidP="00F13912">
            <w:pPr>
              <w:spacing w:after="0" w:line="236" w:lineRule="atLeast"/>
              <w:jc w:val="center"/>
              <w:rPr>
                <w:rFonts w:ascii="&amp;quot" w:hAnsi="&amp;quot"/>
                <w:color w:val="333333"/>
                <w:sz w:val="17"/>
                <w:szCs w:val="17"/>
              </w:rPr>
            </w:pPr>
          </w:p>
        </w:tc>
        <w:tc>
          <w:tcPr>
            <w:tcW w:w="153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083C46A"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794,351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A12CEC8"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-0.37%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E9391F1"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18.84% </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E52A8BC"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-1.66%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4201A7F"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7.78%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EA5710D"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8.32% </w:t>
            </w:r>
          </w:p>
        </w:tc>
        <w:tc>
          <w:tcPr>
            <w:tcW w:w="2250" w:type="dxa"/>
            <w:gridSpan w:val="3"/>
            <w:vMerge/>
            <w:tcBorders>
              <w:left w:val="single" w:sz="6" w:space="0" w:color="DDDDDD"/>
              <w:right w:val="single" w:sz="6" w:space="0" w:color="DDDDDD"/>
            </w:tcBorders>
            <w:shd w:val="clear" w:color="auto" w:fill="auto"/>
            <w:tcMar>
              <w:top w:w="75" w:type="dxa"/>
              <w:left w:w="75" w:type="dxa"/>
              <w:bottom w:w="75" w:type="dxa"/>
              <w:right w:w="75" w:type="dxa"/>
            </w:tcMar>
          </w:tcPr>
          <w:p w14:paraId="7BEEBD63" w14:textId="77777777" w:rsidR="00F13912" w:rsidRDefault="00F13912" w:rsidP="00F13912">
            <w:pPr>
              <w:spacing w:after="0"/>
              <w:jc w:val="center"/>
              <w:rPr>
                <w:rFonts w:ascii="&amp;quot" w:hAnsi="&amp;quot"/>
                <w:color w:val="333333"/>
                <w:sz w:val="17"/>
                <w:szCs w:val="17"/>
              </w:rPr>
            </w:pPr>
          </w:p>
        </w:tc>
      </w:tr>
      <w:tr w:rsidR="00F13912" w14:paraId="30D9651B" w14:textId="77777777" w:rsidTr="00F41A69">
        <w:trPr>
          <w:jc w:val="center"/>
        </w:trPr>
        <w:tc>
          <w:tcPr>
            <w:tcW w:w="1432" w:type="dxa"/>
            <w:tcBorders>
              <w:top w:val="single" w:sz="6" w:space="0" w:color="DDDDDD"/>
              <w:left w:val="single" w:sz="6" w:space="0" w:color="DDDDDD"/>
              <w:bottom w:val="single" w:sz="6" w:space="0" w:color="DDDDDD"/>
              <w:right w:val="single" w:sz="6" w:space="0" w:color="DDDDDD"/>
            </w:tcBorders>
            <w:shd w:val="clear" w:color="auto" w:fill="auto"/>
            <w:tcMar>
              <w:top w:w="75" w:type="dxa"/>
              <w:left w:w="330" w:type="dxa"/>
              <w:bottom w:w="75" w:type="dxa"/>
              <w:right w:w="75" w:type="dxa"/>
            </w:tcMar>
          </w:tcPr>
          <w:p w14:paraId="26012833" w14:textId="77777777" w:rsidR="00F13912" w:rsidRDefault="00F13912" w:rsidP="00F13912">
            <w:pPr>
              <w:spacing w:after="0" w:line="236" w:lineRule="atLeast"/>
              <w:rPr>
                <w:rFonts w:ascii="&amp;quot" w:hAnsi="&amp;quot"/>
                <w:color w:val="333333"/>
                <w:sz w:val="17"/>
                <w:szCs w:val="17"/>
              </w:rPr>
            </w:pPr>
            <w:r>
              <w:rPr>
                <w:rFonts w:ascii="&amp;quot" w:hAnsi="&amp;quot"/>
                <w:color w:val="333333"/>
                <w:sz w:val="17"/>
                <w:szCs w:val="17"/>
              </w:rPr>
              <w:t xml:space="preserve">Control: Prospect </w:t>
            </w:r>
          </w:p>
        </w:tc>
        <w:tc>
          <w:tcPr>
            <w:tcW w:w="1620" w:type="dxa"/>
            <w:gridSpan w:val="2"/>
            <w:vMerge/>
            <w:tcBorders>
              <w:top w:val="single" w:sz="4" w:space="0" w:color="A6A6A6" w:themeColor="background1" w:themeShade="A6"/>
              <w:left w:val="single" w:sz="6" w:space="0" w:color="DDDDDD"/>
              <w:right w:val="single" w:sz="6" w:space="0" w:color="DDDDDD"/>
            </w:tcBorders>
            <w:shd w:val="clear" w:color="auto" w:fill="auto"/>
            <w:tcMar>
              <w:top w:w="75" w:type="dxa"/>
              <w:left w:w="75" w:type="dxa"/>
              <w:bottom w:w="75" w:type="dxa"/>
              <w:right w:w="75" w:type="dxa"/>
            </w:tcMar>
          </w:tcPr>
          <w:p w14:paraId="156FEEEB" w14:textId="77777777" w:rsidR="00F13912" w:rsidRDefault="00F13912" w:rsidP="00F13912">
            <w:pPr>
              <w:spacing w:after="0" w:line="236" w:lineRule="atLeast"/>
              <w:jc w:val="center"/>
              <w:rPr>
                <w:rFonts w:ascii="&amp;quot" w:hAnsi="&amp;quot"/>
                <w:color w:val="333333"/>
                <w:sz w:val="17"/>
                <w:szCs w:val="17"/>
              </w:rPr>
            </w:pPr>
          </w:p>
        </w:tc>
        <w:tc>
          <w:tcPr>
            <w:tcW w:w="1530" w:type="dxa"/>
            <w:gridSpan w:val="2"/>
            <w:tcBorders>
              <w:top w:val="single" w:sz="4" w:space="0" w:color="A6A6A6" w:themeColor="background1" w:themeShade="A6"/>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22D5E4E"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427,695 </w:t>
            </w:r>
          </w:p>
        </w:tc>
        <w:tc>
          <w:tcPr>
            <w:tcW w:w="810" w:type="dxa"/>
            <w:tcBorders>
              <w:top w:val="single" w:sz="4" w:space="0" w:color="A6A6A6" w:themeColor="background1" w:themeShade="A6"/>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1877AE7"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2.00% </w:t>
            </w:r>
          </w:p>
        </w:tc>
        <w:tc>
          <w:tcPr>
            <w:tcW w:w="720" w:type="dxa"/>
            <w:tcBorders>
              <w:top w:val="single" w:sz="4" w:space="0" w:color="A6A6A6" w:themeColor="background1" w:themeShade="A6"/>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582BBF8"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29.41% </w:t>
            </w:r>
          </w:p>
        </w:tc>
        <w:tc>
          <w:tcPr>
            <w:tcW w:w="900" w:type="dxa"/>
            <w:tcBorders>
              <w:top w:val="single" w:sz="4" w:space="0" w:color="A6A6A6" w:themeColor="background1" w:themeShade="A6"/>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37217F2"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7.63% </w:t>
            </w:r>
          </w:p>
        </w:tc>
        <w:tc>
          <w:tcPr>
            <w:tcW w:w="810" w:type="dxa"/>
            <w:tcBorders>
              <w:top w:val="single" w:sz="4" w:space="0" w:color="A6A6A6" w:themeColor="background1" w:themeShade="A6"/>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B0D8C9C"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-17.10% </w:t>
            </w:r>
          </w:p>
        </w:tc>
        <w:tc>
          <w:tcPr>
            <w:tcW w:w="810" w:type="dxa"/>
            <w:tcBorders>
              <w:top w:val="single" w:sz="4" w:space="0" w:color="A6A6A6" w:themeColor="background1" w:themeShade="A6"/>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1D81384"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6.65% </w:t>
            </w:r>
          </w:p>
        </w:tc>
        <w:tc>
          <w:tcPr>
            <w:tcW w:w="2250" w:type="dxa"/>
            <w:gridSpan w:val="3"/>
            <w:vMerge/>
            <w:tcBorders>
              <w:left w:val="single" w:sz="6" w:space="0" w:color="DDDDDD"/>
              <w:right w:val="single" w:sz="6" w:space="0" w:color="DDDDDD"/>
            </w:tcBorders>
            <w:shd w:val="clear" w:color="auto" w:fill="auto"/>
            <w:tcMar>
              <w:top w:w="75" w:type="dxa"/>
              <w:left w:w="75" w:type="dxa"/>
              <w:bottom w:w="75" w:type="dxa"/>
              <w:right w:w="75" w:type="dxa"/>
            </w:tcMar>
          </w:tcPr>
          <w:p w14:paraId="19717670" w14:textId="77777777" w:rsidR="00F13912" w:rsidRDefault="00F13912" w:rsidP="00F13912">
            <w:pPr>
              <w:spacing w:after="0"/>
              <w:jc w:val="center"/>
              <w:rPr>
                <w:rFonts w:ascii="&amp;quot" w:hAnsi="&amp;quot"/>
                <w:color w:val="333333"/>
                <w:sz w:val="17"/>
                <w:szCs w:val="17"/>
              </w:rPr>
            </w:pPr>
          </w:p>
        </w:tc>
      </w:tr>
      <w:tr w:rsidR="00F13912" w14:paraId="0708A4DD" w14:textId="77777777" w:rsidTr="00F41A69">
        <w:trPr>
          <w:jc w:val="center"/>
        </w:trPr>
        <w:tc>
          <w:tcPr>
            <w:tcW w:w="10882" w:type="dxa"/>
            <w:gridSpan w:val="13"/>
            <w:tcBorders>
              <w:top w:val="single" w:sz="4" w:space="0" w:color="A6A6A6" w:themeColor="background1" w:themeShade="A6"/>
              <w:left w:val="nil"/>
              <w:bottom w:val="nil"/>
              <w:right w:val="nil"/>
            </w:tcBorders>
            <w:shd w:val="clear" w:color="auto" w:fill="auto"/>
            <w:tcMar>
              <w:top w:w="0" w:type="dxa"/>
              <w:left w:w="0" w:type="dxa"/>
              <w:bottom w:w="0" w:type="dxa"/>
              <w:right w:w="0" w:type="dxa"/>
            </w:tcMar>
            <w:hideMark/>
          </w:tcPr>
          <w:p w14:paraId="1F087C0D" w14:textId="77777777" w:rsidR="00F13912" w:rsidRPr="00F13912" w:rsidRDefault="00F13912" w:rsidP="00F13912">
            <w:pPr>
              <w:spacing w:after="0"/>
              <w:rPr>
                <w:sz w:val="16"/>
                <w:szCs w:val="18"/>
              </w:rPr>
            </w:pPr>
            <w:r w:rsidRPr="00F13912">
              <w:rPr>
                <w:sz w:val="16"/>
                <w:szCs w:val="18"/>
              </w:rPr>
              <w:t xml:space="preserve">The baseline is defined as the average of the three years prior to the construction year; </w:t>
            </w:r>
          </w:p>
          <w:p w14:paraId="238BBDE4" w14:textId="77777777" w:rsidR="00F13912" w:rsidRPr="00F13912" w:rsidRDefault="00F13912" w:rsidP="00F13912">
            <w:pPr>
              <w:spacing w:after="0"/>
              <w:rPr>
                <w:sz w:val="16"/>
                <w:szCs w:val="18"/>
              </w:rPr>
            </w:pPr>
            <w:r w:rsidRPr="00F13912">
              <w:rPr>
                <w:sz w:val="16"/>
                <w:szCs w:val="18"/>
              </w:rPr>
              <w:t>The pre-growth rate is defined as the average of the baseline annual growth rates;</w:t>
            </w:r>
          </w:p>
          <w:p w14:paraId="43008C06" w14:textId="77777777" w:rsidR="00F13912" w:rsidRDefault="00F13912" w:rsidP="00F13912">
            <w:pPr>
              <w:spacing w:after="0"/>
            </w:pPr>
            <w:r w:rsidRPr="00F13912">
              <w:rPr>
                <w:sz w:val="16"/>
                <w:szCs w:val="18"/>
              </w:rPr>
              <w:t>The post-growth rate is defined as the average annual growth rate of three time points after the construction year.</w:t>
            </w:r>
          </w:p>
        </w:tc>
      </w:tr>
    </w:tbl>
    <w:p w14:paraId="71A96E3A" w14:textId="0071D62E" w:rsidR="00F13912" w:rsidRDefault="0090595F" w:rsidP="00F13912">
      <w:pPr>
        <w:pStyle w:val="BodyText"/>
      </w:pPr>
      <w:r>
        <w:t xml:space="preserve">The table above summarizes the detailed percentage changes of retail and food services economic indicators across three different data sources. </w:t>
      </w:r>
      <w:r w:rsidR="00F13912">
        <w:t xml:space="preserve">Although Virginia Avenue retail employment shows a more negative growth trend when compared with the corresponding control corridors, it </w:t>
      </w:r>
      <w:r w:rsidR="00F13912" w:rsidRPr="00573F7E">
        <w:t>shows</w:t>
      </w:r>
      <w:r w:rsidR="00F13912">
        <w:t xml:space="preserve"> substantial</w:t>
      </w:r>
      <w:r w:rsidR="00F13912" w:rsidRPr="00573F7E">
        <w:t xml:space="preserve"> growth </w:t>
      </w:r>
      <w:r w:rsidR="00F13912">
        <w:t>in all food services industry metrics -</w:t>
      </w:r>
      <w:r w:rsidR="00F13912" w:rsidRPr="00573F7E">
        <w:t xml:space="preserve"> employment, sales and wages</w:t>
      </w:r>
      <w:r w:rsidR="00F13912">
        <w:t xml:space="preserve"> - </w:t>
      </w:r>
      <w:r w:rsidR="00F13912" w:rsidRPr="00573F7E">
        <w:t>after bike lane installation.</w:t>
      </w:r>
    </w:p>
    <w:p w14:paraId="0BF68CE7" w14:textId="30DC9B2C" w:rsidR="00A61086" w:rsidRDefault="00AD0899">
      <w:pPr>
        <w:pStyle w:val="Heading3"/>
      </w:pPr>
      <w:bookmarkStart w:id="21" w:name="difference-in-difference-1"/>
      <w:bookmarkEnd w:id="21"/>
      <w:r>
        <w:t>DID Analysis</w:t>
      </w:r>
    </w:p>
    <w:p w14:paraId="5E67D731" w14:textId="36F88B99" w:rsidR="00A61086" w:rsidRDefault="006526FA">
      <w:pPr>
        <w:pStyle w:val="FirstParagraph"/>
      </w:pPr>
      <w:bookmarkStart w:id="22" w:name="lehd-1"/>
      <w:bookmarkStart w:id="23" w:name="OLE_LINK3"/>
      <w:bookmarkStart w:id="24" w:name="OLE_LINK4"/>
      <w:bookmarkEnd w:id="22"/>
      <w:r>
        <w:t>DID</w:t>
      </w:r>
      <w:r w:rsidR="00DC3D23">
        <w:t xml:space="preserve"> estim</w:t>
      </w:r>
      <w:r>
        <w:t>ation</w:t>
      </w:r>
      <w:r w:rsidR="00FF17C4">
        <w:t xml:space="preserve"> </w:t>
      </w:r>
      <w:bookmarkEnd w:id="23"/>
      <w:bookmarkEnd w:id="24"/>
      <w:r w:rsidR="001D273F">
        <w:t xml:space="preserve">of LEHD data did not yield any statistically significant results </w:t>
      </w:r>
      <w:r w:rsidR="00FF17C4">
        <w:t>for the Virginia Ave</w:t>
      </w:r>
      <w:r w:rsidR="00A43D13">
        <w:t>nue</w:t>
      </w:r>
      <w:r w:rsidR="00FF17C4">
        <w:t xml:space="preserve"> corridors. The lack of statistically significant terms here leads us to believe there is not a causal relationship between the installation of the new bike lane and change in retail or </w:t>
      </w:r>
      <w:r w:rsidR="00A43D13">
        <w:t>food</w:t>
      </w:r>
      <w:r w:rsidR="00FF17C4">
        <w:t xml:space="preserve"> employment for Virginia Ave</w:t>
      </w:r>
      <w:r w:rsidR="00A43D13">
        <w:t>nue</w:t>
      </w:r>
      <w:r w:rsidR="00542E61">
        <w:t xml:space="preserve">, and there may be other drivers that contributed to the considerable economic growth on the corridor. </w:t>
      </w:r>
    </w:p>
    <w:p w14:paraId="23E4372A" w14:textId="50D9E74A" w:rsidR="00A61086" w:rsidRDefault="00F419BF">
      <w:pPr>
        <w:pStyle w:val="FirstParagraph"/>
      </w:pPr>
      <w:bookmarkStart w:id="25" w:name="sales-tax-1"/>
      <w:bookmarkEnd w:id="25"/>
      <w:r>
        <w:t xml:space="preserve">In terms of sales tax, the </w:t>
      </w:r>
      <w:r w:rsidR="00DC3D23">
        <w:t xml:space="preserve">DID </w:t>
      </w:r>
      <w:r>
        <w:t xml:space="preserve">analysis shows significant results when comparing Virginia Avenue to </w:t>
      </w:r>
      <w:r w:rsidR="00FF17C4">
        <w:t>the Shelby</w:t>
      </w:r>
      <w:r w:rsidR="00A43D13">
        <w:t xml:space="preserve"> Street</w:t>
      </w:r>
      <w:r w:rsidR="00FF17C4">
        <w:t xml:space="preserve"> and Prospect </w:t>
      </w:r>
      <w:r w:rsidR="00A43D13">
        <w:t xml:space="preserve">Street </w:t>
      </w:r>
      <w:r w:rsidR="00FF17C4">
        <w:t>corridors</w:t>
      </w:r>
      <w:r w:rsidR="003469C2">
        <w:t xml:space="preserve">, indicating a positive impact of </w:t>
      </w:r>
      <w:r>
        <w:t xml:space="preserve">the </w:t>
      </w:r>
      <w:r w:rsidR="003469C2">
        <w:t>street improvement</w:t>
      </w:r>
      <w:r>
        <w:t xml:space="preserve"> on sales volume</w:t>
      </w:r>
      <w:r w:rsidR="00FF17C4">
        <w:t>.</w:t>
      </w:r>
      <w:r w:rsidR="003469C2">
        <w:t xml:space="preserve"> This results mirrors what we saw in the visual </w:t>
      </w:r>
      <w:r w:rsidR="00EA6B61">
        <w:t xml:space="preserve">aggregated </w:t>
      </w:r>
      <w:r w:rsidR="003469C2">
        <w:t>trend analysis</w:t>
      </w:r>
      <w:r w:rsidR="001B54BB">
        <w:t>,</w:t>
      </w:r>
      <w:r w:rsidR="003469C2">
        <w:t xml:space="preserve"> with significant increase</w:t>
      </w:r>
      <w:r w:rsidR="001B54BB">
        <w:t>s</w:t>
      </w:r>
      <w:r w:rsidR="003469C2">
        <w:t xml:space="preserve"> of </w:t>
      </w:r>
      <w:r w:rsidR="001B54BB">
        <w:t xml:space="preserve">in </w:t>
      </w:r>
      <w:r w:rsidR="003469C2">
        <w:t xml:space="preserve">sales tax </w:t>
      </w:r>
      <w:r w:rsidR="001B54BB">
        <w:t xml:space="preserve">receipts </w:t>
      </w:r>
      <w:r w:rsidR="003469C2">
        <w:t xml:space="preserve">on Virginia Avenue </w:t>
      </w:r>
      <w:r w:rsidR="00B83F4C">
        <w:t>while</w:t>
      </w:r>
      <w:r w:rsidR="003469C2">
        <w:t xml:space="preserve"> </w:t>
      </w:r>
      <w:r w:rsidR="00B83F4C">
        <w:t xml:space="preserve">the </w:t>
      </w:r>
      <w:r w:rsidR="003469C2">
        <w:t>two control corridors</w:t>
      </w:r>
      <w:r w:rsidR="00B83F4C">
        <w:t xml:space="preserve"> remained stagnant</w:t>
      </w:r>
      <w:r w:rsidR="003469C2">
        <w:t>.</w:t>
      </w:r>
    </w:p>
    <w:p w14:paraId="7A0E4A9E" w14:textId="161BD4B4" w:rsidR="00A61086" w:rsidRDefault="00CA54D1">
      <w:pPr>
        <w:pStyle w:val="FirstParagraph"/>
      </w:pPr>
      <w:bookmarkStart w:id="26" w:name="qcew-1"/>
      <w:bookmarkEnd w:id="26"/>
      <w:r>
        <w:t xml:space="preserve">The QCEW </w:t>
      </w:r>
      <w:r w:rsidR="005615AA">
        <w:t xml:space="preserve">DID </w:t>
      </w:r>
      <w:r>
        <w:t xml:space="preserve">analysis </w:t>
      </w:r>
      <w:r w:rsidR="00E47015">
        <w:t>results signal</w:t>
      </w:r>
      <w:r w:rsidR="00FF17C4">
        <w:t xml:space="preserve"> positive </w:t>
      </w:r>
      <w:r w:rsidR="005615AA">
        <w:t xml:space="preserve">and significant </w:t>
      </w:r>
      <w:r w:rsidR="00FF17C4">
        <w:t>effect</w:t>
      </w:r>
      <w:r w:rsidR="005256E7">
        <w:t>s</w:t>
      </w:r>
      <w:r w:rsidR="00FF17C4">
        <w:t xml:space="preserve"> of </w:t>
      </w:r>
      <w:r w:rsidR="003F2538">
        <w:t xml:space="preserve">the </w:t>
      </w:r>
      <w:r w:rsidR="00FF17C4">
        <w:t>bike lane installation on both employment and quarterly wages</w:t>
      </w:r>
      <w:r w:rsidR="002B3C96">
        <w:t xml:space="preserve"> for Virginia Avenue</w:t>
      </w:r>
      <w:r w:rsidR="00FF17C4">
        <w:t xml:space="preserve">. In this case, holding all other </w:t>
      </w:r>
      <w:r w:rsidR="003469C2">
        <w:t>parameters</w:t>
      </w:r>
      <w:r w:rsidR="00FF17C4">
        <w:t xml:space="preserve"> equal, </w:t>
      </w:r>
      <w:r w:rsidR="003469C2">
        <w:t>the street improvement contributes to</w:t>
      </w:r>
      <w:r w:rsidR="00FF17C4">
        <w:t xml:space="preserve"> </w:t>
      </w:r>
      <w:r w:rsidR="002035A2">
        <w:t xml:space="preserve">an increase of </w:t>
      </w:r>
      <w:r w:rsidR="00FF17C4">
        <w:t xml:space="preserve">200 jobs </w:t>
      </w:r>
      <w:r w:rsidR="002035A2">
        <w:t xml:space="preserve">and </w:t>
      </w:r>
      <w:r w:rsidR="00FF17C4">
        <w:t>nearly a million dollars in quarterly wages</w:t>
      </w:r>
      <w:r w:rsidR="003469C2">
        <w:t xml:space="preserve"> increase compared to Prospect Street and Shelby Street</w:t>
      </w:r>
      <w:r w:rsidR="00FF17C4">
        <w:t>.</w:t>
      </w:r>
    </w:p>
    <w:p w14:paraId="11517B60" w14:textId="77A74F13" w:rsidR="00A61086" w:rsidRDefault="00AD0899">
      <w:pPr>
        <w:pStyle w:val="Heading3"/>
      </w:pPr>
      <w:bookmarkStart w:id="27" w:name="interrupted-time-series-1"/>
      <w:bookmarkEnd w:id="27"/>
      <w:r>
        <w:t>ITS Analysis</w:t>
      </w:r>
    </w:p>
    <w:p w14:paraId="401F7A53" w14:textId="28D25D82" w:rsidR="004D5237" w:rsidRDefault="004D5237" w:rsidP="004D5237">
      <w:pPr>
        <w:pStyle w:val="FirstParagraph"/>
      </w:pPr>
      <w:bookmarkStart w:id="28" w:name="lehd-2"/>
      <w:bookmarkEnd w:id="28"/>
      <w:r>
        <w:t xml:space="preserve">ITS analysis of the Virginia Avenue corridor using LEHD data does not show any significant level or slope change from the pre-treatment trend patterns. While the </w:t>
      </w:r>
      <w:proofErr w:type="spellStart"/>
      <w:r>
        <w:t>ts_year</w:t>
      </w:r>
      <w:proofErr w:type="spellEnd"/>
      <w:r>
        <w:t xml:space="preserve"> coefficient for food employment is positive and significant</w:t>
      </w:r>
      <w:r w:rsidR="007349E0">
        <w:t>,</w:t>
      </w:r>
      <w:r>
        <w:t xml:space="preserve"> this only tells us that the growth trend of food employment for the corridor is itself positive. The non-significant </w:t>
      </w:r>
      <w:proofErr w:type="spellStart"/>
      <w:r>
        <w:rPr>
          <w:b/>
        </w:rPr>
        <w:t>prepost</w:t>
      </w:r>
      <w:proofErr w:type="spellEnd"/>
      <w:r>
        <w:t xml:space="preserve"> and </w:t>
      </w:r>
      <w:proofErr w:type="spellStart"/>
      <w:r>
        <w:rPr>
          <w:b/>
        </w:rPr>
        <w:lastRenderedPageBreak/>
        <w:t>ts_year:pre_post</w:t>
      </w:r>
      <w:proofErr w:type="spellEnd"/>
      <w:r>
        <w:t xml:space="preserve"> indicate that there was neither a level or slope change attributable to the treatment.</w:t>
      </w:r>
    </w:p>
    <w:p w14:paraId="03543275" w14:textId="28A19A86" w:rsidR="004D5237" w:rsidRDefault="004D5237" w:rsidP="004D5237">
      <w:pPr>
        <w:pStyle w:val="BodyText"/>
      </w:pPr>
      <w:bookmarkStart w:id="29" w:name="sales-tax-2"/>
      <w:bookmarkStart w:id="30" w:name="qcew-2"/>
      <w:bookmarkEnd w:id="29"/>
      <w:bookmarkEnd w:id="30"/>
      <w:r>
        <w:t xml:space="preserve">In terms of sales tax data </w:t>
      </w:r>
      <w:r w:rsidR="007349E0">
        <w:t xml:space="preserve">ITS </w:t>
      </w:r>
      <w:r>
        <w:t xml:space="preserve">results, the non-significant results from </w:t>
      </w:r>
      <w:proofErr w:type="spellStart"/>
      <w:r>
        <w:rPr>
          <w:b/>
        </w:rPr>
        <w:t>prepost</w:t>
      </w:r>
      <w:proofErr w:type="spellEnd"/>
      <w:r>
        <w:t xml:space="preserve"> and </w:t>
      </w:r>
      <w:proofErr w:type="spellStart"/>
      <w:r>
        <w:rPr>
          <w:b/>
        </w:rPr>
        <w:t>ts_year:pre_post</w:t>
      </w:r>
      <w:proofErr w:type="spellEnd"/>
      <w:r>
        <w:t xml:space="preserve"> terms give some supportive evidence that the construction was not directly responsible for the increase in sales tax receipts </w:t>
      </w:r>
      <w:r w:rsidR="006A5BC3">
        <w:t>on</w:t>
      </w:r>
      <w:r>
        <w:t xml:space="preserve"> Virginia Avenue corridor that the DID </w:t>
      </w:r>
      <w:r w:rsidR="00D6525C">
        <w:t xml:space="preserve">analysis </w:t>
      </w:r>
      <w:r>
        <w:t>highlighted. It seems unlikely there is a clear causal relationship between the corridor construction and sales tax effects.</w:t>
      </w:r>
    </w:p>
    <w:p w14:paraId="33677DB6" w14:textId="29A54556" w:rsidR="004D5237" w:rsidRDefault="004D5237" w:rsidP="004D5237">
      <w:pPr>
        <w:pStyle w:val="BodyText"/>
      </w:pPr>
      <w:r>
        <w:t>The QCEW I</w:t>
      </w:r>
      <w:r w:rsidR="00FF17C4">
        <w:t>TS model shows a positive and significant effect of bike lane installation on Virginia Ave</w:t>
      </w:r>
      <w:r w:rsidR="00A43D13">
        <w:t>nue</w:t>
      </w:r>
      <w:r w:rsidR="00FF17C4">
        <w:t xml:space="preserve"> for both jobs and quarterly wages. </w:t>
      </w:r>
      <w:r>
        <w:t xml:space="preserve">In particular, Virginia Avenue food employment saw a negative, statistically significant drop in employment level after treatment, but there is a positive slope signaling an overall positive growth trend. This result more clearly follows our descriptive data that shows a clear positive growth of employment and wages over time before, during and after the construction period with accelerated growth post-construction. The impact of the street improvement on </w:t>
      </w:r>
      <w:r w:rsidR="00C123C7">
        <w:t xml:space="preserve">Virginia </w:t>
      </w:r>
      <w:r>
        <w:t xml:space="preserve">Avenue should become clearer as additional data points become available in the future. </w:t>
      </w:r>
    </w:p>
    <w:p w14:paraId="2A10940D" w14:textId="10898148" w:rsidR="008F6FE3" w:rsidRDefault="0096499E" w:rsidP="008F6FE3">
      <w:pPr>
        <w:pStyle w:val="Heading3"/>
      </w:pPr>
      <w:r>
        <w:t>Key Results</w:t>
      </w:r>
    </w:p>
    <w:p w14:paraId="590C7B5B" w14:textId="77777777" w:rsidR="008F6FE3" w:rsidRPr="008F6FE3" w:rsidRDefault="008F6FE3" w:rsidP="008F6FE3">
      <w:pPr>
        <w:pStyle w:val="ListParagraph"/>
        <w:numPr>
          <w:ilvl w:val="0"/>
          <w:numId w:val="31"/>
        </w:numPr>
        <w:spacing w:line="240" w:lineRule="auto"/>
        <w:rPr>
          <w:sz w:val="24"/>
        </w:rPr>
      </w:pPr>
      <w:r w:rsidRPr="008F6FE3">
        <w:rPr>
          <w:sz w:val="24"/>
        </w:rPr>
        <w:t xml:space="preserve">Although Virginia Avenue retail employment shows a more negative growth trend when compared with the corresponding control corridors in the aggregated trend analysis, the more rigorous DID and ITS approaches indicate that the bike lane installation did not significantly impact retail employment, either positively or negatively, along the Virginia Avenue corridor. </w:t>
      </w:r>
    </w:p>
    <w:p w14:paraId="4EE53A95" w14:textId="7BE10EF5" w:rsidR="008F6FE3" w:rsidRDefault="008F6FE3" w:rsidP="008F6FE3">
      <w:pPr>
        <w:pStyle w:val="ListParagraph"/>
        <w:numPr>
          <w:ilvl w:val="0"/>
          <w:numId w:val="31"/>
        </w:numPr>
        <w:spacing w:line="240" w:lineRule="auto"/>
        <w:rPr>
          <w:sz w:val="24"/>
        </w:rPr>
      </w:pPr>
      <w:r w:rsidRPr="008F6FE3">
        <w:rPr>
          <w:sz w:val="24"/>
        </w:rPr>
        <w:t>The Virginia Avenue corridor shows substantial growth in all food services industry metrics - employment, sales and wages - after bike lane installation. Both DID and ITS models indicate positive causal effects on food service businesses. These positive impacts are supported consistently across all analysis results using all data sources.</w:t>
      </w:r>
    </w:p>
    <w:p w14:paraId="0407D767" w14:textId="6C172F4C" w:rsidR="008A0466" w:rsidRPr="008A0466" w:rsidRDefault="008A0466" w:rsidP="008A0466">
      <w:pPr>
        <w:pStyle w:val="ListParagraph"/>
        <w:numPr>
          <w:ilvl w:val="0"/>
          <w:numId w:val="31"/>
        </w:numPr>
        <w:spacing w:line="240" w:lineRule="auto"/>
        <w:rPr>
          <w:sz w:val="24"/>
        </w:rPr>
      </w:pPr>
      <w:r w:rsidRPr="008A0466">
        <w:rPr>
          <w:sz w:val="24"/>
        </w:rPr>
        <w:t>In conclusion, the separated bike lane triggered significant employment, sales, and wage increases in the food services industry, indicating an improvement in business vitality as a result.</w:t>
      </w:r>
    </w:p>
    <w:p w14:paraId="4B054EE1" w14:textId="77777777" w:rsidR="008F6FE3" w:rsidRPr="008F6FE3" w:rsidRDefault="008F6FE3" w:rsidP="008F6FE3">
      <w:pPr>
        <w:pStyle w:val="BodyText"/>
      </w:pPr>
    </w:p>
    <w:p w14:paraId="25AFE508" w14:textId="77777777" w:rsidR="00A61086" w:rsidRDefault="00FF17C4">
      <w:pPr>
        <w:pStyle w:val="Heading2"/>
      </w:pPr>
      <w:bookmarkStart w:id="31" w:name="massachusetts-avenue"/>
      <w:bookmarkEnd w:id="31"/>
      <w:r>
        <w:t>Massachusetts Avenue</w:t>
      </w:r>
    </w:p>
    <w:p w14:paraId="67F22ED5" w14:textId="77777777" w:rsidR="00A61086" w:rsidRDefault="00FF17C4">
      <w:pPr>
        <w:pStyle w:val="Heading3"/>
      </w:pPr>
      <w:bookmarkStart w:id="32" w:name="aggregated-trend-analysis-1"/>
      <w:bookmarkEnd w:id="32"/>
      <w:r>
        <w:t>Aggregated Trend Analysis</w:t>
      </w:r>
    </w:p>
    <w:p w14:paraId="50FB93CB" w14:textId="6515686B" w:rsidR="00A61086" w:rsidRDefault="00FF17C4">
      <w:pPr>
        <w:pStyle w:val="FirstParagraph"/>
      </w:pPr>
      <w:r>
        <w:t xml:space="preserve">The employment trend graphs of </w:t>
      </w:r>
      <w:r w:rsidR="00444F01">
        <w:t xml:space="preserve">the treatment and control Massachusetts Avenue </w:t>
      </w:r>
      <w:r>
        <w:t xml:space="preserve">corridors are presented below. In terms of retail employment, the two corridors experienced a significant employment drop around 2007 (with retail employment dropping to zero in </w:t>
      </w:r>
      <w:r w:rsidR="00DF7C53">
        <w:t xml:space="preserve">2007 and </w:t>
      </w:r>
      <w:r>
        <w:t>2009</w:t>
      </w:r>
      <w:r w:rsidR="00DF7C53">
        <w:t xml:space="preserve"> </w:t>
      </w:r>
      <w:r w:rsidR="00B911D0">
        <w:t>on the</w:t>
      </w:r>
      <w:r w:rsidR="00DF7C53">
        <w:t xml:space="preserve"> treatment corridor</w:t>
      </w:r>
      <w:r>
        <w:t xml:space="preserve">) and </w:t>
      </w:r>
      <w:r w:rsidR="00C33CAB">
        <w:t xml:space="preserve">appear to be </w:t>
      </w:r>
      <w:r>
        <w:t xml:space="preserve">in the midst of a recovery </w:t>
      </w:r>
      <w:r w:rsidR="00C33CAB">
        <w:t xml:space="preserve">period </w:t>
      </w:r>
      <w:r>
        <w:t xml:space="preserve">but with the treatment corridor lagging in terms of new employment growth. In terms of </w:t>
      </w:r>
      <w:r w:rsidR="000942BF">
        <w:t xml:space="preserve">the </w:t>
      </w:r>
      <w:r>
        <w:t>food</w:t>
      </w:r>
      <w:r w:rsidR="00A43D13">
        <w:t xml:space="preserve"> </w:t>
      </w:r>
      <w:r w:rsidR="000942BF">
        <w:t xml:space="preserve">services </w:t>
      </w:r>
      <w:r>
        <w:t xml:space="preserve">sector, both </w:t>
      </w:r>
      <w:r w:rsidR="001B1630">
        <w:t xml:space="preserve">the treatment and control corridors </w:t>
      </w:r>
      <w:r>
        <w:t>show pre-construction drops in employment</w:t>
      </w:r>
      <w:r w:rsidR="008030FA">
        <w:t>, but both rebound</w:t>
      </w:r>
      <w:r>
        <w:t xml:space="preserve"> </w:t>
      </w:r>
      <w:r w:rsidR="008F6BB9">
        <w:t xml:space="preserve">significantly </w:t>
      </w:r>
      <w:r>
        <w:t xml:space="preserve">in </w:t>
      </w:r>
      <w:r>
        <w:lastRenderedPageBreak/>
        <w:t xml:space="preserve">the </w:t>
      </w:r>
      <w:r w:rsidR="008F6BB9">
        <w:t xml:space="preserve">following </w:t>
      </w:r>
      <w:r>
        <w:t>years. Given the proximity of the corridors, this is to be expected and is reflected by the non-significant t-test results.</w:t>
      </w:r>
    </w:p>
    <w:p w14:paraId="5E61BA98" w14:textId="77777777" w:rsidR="00A61086" w:rsidRDefault="00B93AE7">
      <w:pPr>
        <w:pStyle w:val="BodyText"/>
      </w:pPr>
      <w:r>
        <w:rPr>
          <w:noProof/>
          <w:lang w:eastAsia="zh-TW"/>
        </w:rPr>
        <w:drawing>
          <wp:inline distT="0" distB="0" distL="0" distR="0" wp14:anchorId="4823FAF2" wp14:editId="275EFE4A">
            <wp:extent cx="5943600" cy="2971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71800"/>
                    </a:xfrm>
                    <a:prstGeom prst="rect">
                      <a:avLst/>
                    </a:prstGeom>
                  </pic:spPr>
                </pic:pic>
              </a:graphicData>
            </a:graphic>
          </wp:inline>
        </w:drawing>
      </w:r>
    </w:p>
    <w:p w14:paraId="66404FFA" w14:textId="77777777" w:rsidR="00F41A69" w:rsidRDefault="00F41A69" w:rsidP="00F41A69">
      <w:pPr>
        <w:pStyle w:val="Caption"/>
      </w:pPr>
      <w:r>
        <w:t xml:space="preserve">Figure </w:t>
      </w:r>
      <w:fldSimple w:instr=" STYLEREF 1 \s ">
        <w:r>
          <w:rPr>
            <w:noProof/>
          </w:rPr>
          <w:t>4</w:t>
        </w:r>
      </w:fldSimple>
      <w:r>
        <w:noBreakHyphen/>
      </w:r>
      <w:fldSimple w:instr=" SEQ Figure \* ARABIC \s 1 ">
        <w:r>
          <w:rPr>
            <w:noProof/>
          </w:rPr>
          <w:t>6</w:t>
        </w:r>
      </w:fldSimple>
      <w:r>
        <w:t>. Massachusetts Avenue Employment Comparison (LEHD)</w:t>
      </w:r>
    </w:p>
    <w:p w14:paraId="4C492633" w14:textId="05381F2E" w:rsidR="00A61086" w:rsidRDefault="00DF7C53">
      <w:pPr>
        <w:pStyle w:val="BodyText"/>
      </w:pPr>
      <w:r>
        <w:t>Given the low amount of retail employment in treatment corridor, we eliminate the indexed plot of retail employment, and just present the</w:t>
      </w:r>
      <w:r w:rsidR="00FF17C4">
        <w:t xml:space="preserve"> </w:t>
      </w:r>
      <w:r w:rsidR="00A43D13">
        <w:t>food</w:t>
      </w:r>
      <w:r w:rsidR="00FF17C4">
        <w:t xml:space="preserve"> employment growth indexed </w:t>
      </w:r>
      <w:r>
        <w:t>plot</w:t>
      </w:r>
      <w:r w:rsidR="00FF17C4">
        <w:t>. The food</w:t>
      </w:r>
      <w:r w:rsidR="008A2BAF">
        <w:t xml:space="preserve"> employment</w:t>
      </w:r>
      <w:r w:rsidR="00FF17C4">
        <w:t xml:space="preserve"> index</w:t>
      </w:r>
      <w:r w:rsidR="008A2BAF">
        <w:t>ed</w:t>
      </w:r>
      <w:r w:rsidR="00FF17C4">
        <w:t xml:space="preserve"> plot </w:t>
      </w:r>
      <w:r w:rsidR="008A2BAF">
        <w:t xml:space="preserve">below </w:t>
      </w:r>
      <w:r w:rsidR="00FF17C4">
        <w:t>show</w:t>
      </w:r>
      <w:r w:rsidR="008A2BAF">
        <w:t>s</w:t>
      </w:r>
      <w:r w:rsidR="00FF17C4">
        <w:t xml:space="preserve"> the rather vigorous employment growth on the greater Massachusetts Ave</w:t>
      </w:r>
      <w:r w:rsidR="00A43D13">
        <w:t>nue</w:t>
      </w:r>
      <w:r w:rsidR="008843A8">
        <w:t xml:space="preserve"> corridor, which appears even </w:t>
      </w:r>
      <w:r w:rsidR="00FF17C4">
        <w:t>more impressive when compared to the city as a whole</w:t>
      </w:r>
      <w:r w:rsidR="008843A8">
        <w:t xml:space="preserve">. </w:t>
      </w:r>
    </w:p>
    <w:p w14:paraId="2D4B6073" w14:textId="77777777" w:rsidR="00A61086" w:rsidRDefault="00B93AE7">
      <w:pPr>
        <w:pStyle w:val="BodyText"/>
      </w:pPr>
      <w:r>
        <w:rPr>
          <w:noProof/>
          <w:lang w:eastAsia="zh-TW"/>
        </w:rPr>
        <w:drawing>
          <wp:inline distT="0" distB="0" distL="0" distR="0" wp14:anchorId="024E37B3" wp14:editId="0DBB8733">
            <wp:extent cx="5943600" cy="2971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71800"/>
                    </a:xfrm>
                    <a:prstGeom prst="rect">
                      <a:avLst/>
                    </a:prstGeom>
                  </pic:spPr>
                </pic:pic>
              </a:graphicData>
            </a:graphic>
          </wp:inline>
        </w:drawing>
      </w:r>
    </w:p>
    <w:p w14:paraId="3FBFE129" w14:textId="77777777" w:rsidR="00F41A69" w:rsidRDefault="00F41A69" w:rsidP="00F41A69">
      <w:pPr>
        <w:pStyle w:val="Caption"/>
      </w:pPr>
      <w:r>
        <w:t xml:space="preserve">Figure </w:t>
      </w:r>
      <w:fldSimple w:instr=" STYLEREF 1 \s ">
        <w:r>
          <w:rPr>
            <w:noProof/>
          </w:rPr>
          <w:t>4</w:t>
        </w:r>
      </w:fldSimple>
      <w:r>
        <w:noBreakHyphen/>
      </w:r>
      <w:fldSimple w:instr=" SEQ Figure \* ARABIC \s 1 ">
        <w:r>
          <w:rPr>
            <w:noProof/>
          </w:rPr>
          <w:t>7</w:t>
        </w:r>
      </w:fldSimple>
      <w:r>
        <w:t>. Massachusetts Avenue Indexed Employment Comparison (LEHD)</w:t>
      </w:r>
    </w:p>
    <w:p w14:paraId="3F2DC360" w14:textId="77777777" w:rsidR="00A61086" w:rsidRDefault="00FF17C4">
      <w:pPr>
        <w:pStyle w:val="Heading4"/>
      </w:pPr>
      <w:bookmarkStart w:id="33" w:name="sales-tax-3"/>
      <w:bookmarkEnd w:id="33"/>
      <w:r>
        <w:lastRenderedPageBreak/>
        <w:t>Sales tax</w:t>
      </w:r>
    </w:p>
    <w:p w14:paraId="59AD1FC7" w14:textId="30620634" w:rsidR="00A61086" w:rsidRDefault="00FF17C4">
      <w:pPr>
        <w:pStyle w:val="FirstParagraph"/>
      </w:pPr>
      <w:r>
        <w:t>Given their proximal nature</w:t>
      </w:r>
      <w:r w:rsidR="00807A60">
        <w:t>,</w:t>
      </w:r>
      <w:r>
        <w:t xml:space="preserve"> the sales tax </w:t>
      </w:r>
      <w:r w:rsidR="00807A60">
        <w:t xml:space="preserve">receipts on both improvement and control corridors of </w:t>
      </w:r>
      <w:r>
        <w:t xml:space="preserve">Massachusetts </w:t>
      </w:r>
      <w:r w:rsidR="00A43D13">
        <w:t xml:space="preserve">Avenue </w:t>
      </w:r>
      <w:r w:rsidR="00807A60">
        <w:t>are quite similar in level and growth pattern</w:t>
      </w:r>
      <w:r>
        <w:t xml:space="preserve">. They run parallel </w:t>
      </w:r>
      <w:r w:rsidR="00EA5102">
        <w:t xml:space="preserve">to </w:t>
      </w:r>
      <w:r>
        <w:t xml:space="preserve">each other until </w:t>
      </w:r>
      <w:r w:rsidR="00686B78">
        <w:t xml:space="preserve">a separation which occurs </w:t>
      </w:r>
      <w:r>
        <w:t>around 2013. Both corridor</w:t>
      </w:r>
      <w:r w:rsidR="002E5BB8">
        <w:t xml:space="preserve">s saw </w:t>
      </w:r>
      <w:r>
        <w:t xml:space="preserve">a spike in sales tax receipts </w:t>
      </w:r>
      <w:r w:rsidR="002E5BB8">
        <w:t xml:space="preserve">at this time, </w:t>
      </w:r>
      <w:r>
        <w:t xml:space="preserve">but the Massachusetts </w:t>
      </w:r>
      <w:r w:rsidR="00A43D13">
        <w:t xml:space="preserve">Avenue </w:t>
      </w:r>
      <w:r>
        <w:t xml:space="preserve">control section sees a much larger growth spike and maintains </w:t>
      </w:r>
      <w:r w:rsidR="002E5BB8">
        <w:t xml:space="preserve">greater sales tax receipts </w:t>
      </w:r>
      <w:r>
        <w:t>moving forward</w:t>
      </w:r>
      <w:r w:rsidR="002E5BB8">
        <w:t xml:space="preserve"> from that point in time</w:t>
      </w:r>
      <w:r>
        <w:t>. Beyond that, the two halves of the corridor continue to mirror each other.</w:t>
      </w:r>
      <w:r w:rsidR="00574D54">
        <w:t xml:space="preserve"> However, because the sales tax receipt along the two corridors tracked each other very closely for 5 years following the street improvement construction, it is difficult to conclude whether or not the different paths starting in 2013 can be attributed directly to the construction or another event.</w:t>
      </w:r>
    </w:p>
    <w:p w14:paraId="61A8F054" w14:textId="77777777" w:rsidR="00A61086" w:rsidRDefault="00E57DF2">
      <w:pPr>
        <w:pStyle w:val="BodyText"/>
      </w:pPr>
      <w:r>
        <w:rPr>
          <w:noProof/>
          <w:lang w:eastAsia="zh-TW"/>
        </w:rPr>
        <w:drawing>
          <wp:inline distT="0" distB="0" distL="0" distR="0" wp14:anchorId="6E3E79B5" wp14:editId="6DCFFEDA">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457700"/>
                    </a:xfrm>
                    <a:prstGeom prst="rect">
                      <a:avLst/>
                    </a:prstGeom>
                  </pic:spPr>
                </pic:pic>
              </a:graphicData>
            </a:graphic>
          </wp:inline>
        </w:drawing>
      </w:r>
    </w:p>
    <w:p w14:paraId="2918BAF5" w14:textId="77777777" w:rsidR="00F41A69" w:rsidRDefault="00F41A69" w:rsidP="00F41A69">
      <w:pPr>
        <w:pStyle w:val="Caption"/>
      </w:pPr>
      <w:r>
        <w:t xml:space="preserve">Figure </w:t>
      </w:r>
      <w:fldSimple w:instr=" STYLEREF 1 \s ">
        <w:r>
          <w:rPr>
            <w:noProof/>
          </w:rPr>
          <w:t>4</w:t>
        </w:r>
      </w:fldSimple>
      <w:r>
        <w:noBreakHyphen/>
      </w:r>
      <w:fldSimple w:instr=" SEQ Figure \* ARABIC \s 1 ">
        <w:r>
          <w:rPr>
            <w:noProof/>
          </w:rPr>
          <w:t>8</w:t>
        </w:r>
      </w:fldSimple>
      <w:r>
        <w:t>. Massachusetts Avenue Sales Tax Comparison (Sales tax data)</w:t>
      </w:r>
    </w:p>
    <w:p w14:paraId="34C906D2" w14:textId="77777777" w:rsidR="00A61086" w:rsidRDefault="00FF17C4">
      <w:pPr>
        <w:pStyle w:val="Heading4"/>
      </w:pPr>
      <w:bookmarkStart w:id="34" w:name="qcew-3"/>
      <w:bookmarkEnd w:id="34"/>
      <w:r>
        <w:t>QCEW</w:t>
      </w:r>
    </w:p>
    <w:p w14:paraId="1F177A83" w14:textId="05A5DC0E" w:rsidR="00A61086" w:rsidRDefault="00FF17C4">
      <w:pPr>
        <w:pStyle w:val="FirstParagraph"/>
      </w:pPr>
      <w:r>
        <w:t>According to the QCEW data</w:t>
      </w:r>
      <w:r w:rsidR="00130059">
        <w:t>,</w:t>
      </w:r>
      <w:r>
        <w:t xml:space="preserve"> the treatment section of Massachusetts Avenue did not have any food and drinking establishments during the construction period. This does not mean there was no retail oriented employment, the LEHD data shows there was some kind of retail on Massachusetts</w:t>
      </w:r>
      <w:r w:rsidR="00A43D13">
        <w:t xml:space="preserve"> Avenue</w:t>
      </w:r>
      <w:r>
        <w:t xml:space="preserve">, but that there was no food and drinking specific </w:t>
      </w:r>
      <w:r>
        <w:lastRenderedPageBreak/>
        <w:t>employment. While we do not have data covering the construction period</w:t>
      </w:r>
      <w:r w:rsidR="00055E16">
        <w:t>,</w:t>
      </w:r>
      <w:r>
        <w:t xml:space="preserve"> it is still valuable to note the robust growth in employment and wages for the treatment corridor over a short period of time</w:t>
      </w:r>
      <w:r w:rsidR="001E6021">
        <w:t xml:space="preserve"> in the years after the street improvement</w:t>
      </w:r>
      <w:r>
        <w:t xml:space="preserve">. </w:t>
      </w:r>
      <w:r w:rsidR="00E63044">
        <w:t>I</w:t>
      </w:r>
      <w:r>
        <w:t xml:space="preserve">t is not possible </w:t>
      </w:r>
      <w:r w:rsidR="00130059">
        <w:t>to use</w:t>
      </w:r>
      <w:r>
        <w:t xml:space="preserve"> this particular data source to determine whether or not the cycling infrastructure played a causal role in this growth, </w:t>
      </w:r>
      <w:r w:rsidR="00436C9B">
        <w:t xml:space="preserve">but </w:t>
      </w:r>
      <w:r w:rsidR="0025272A">
        <w:t xml:space="preserve">the data points to </w:t>
      </w:r>
      <w:r w:rsidR="005E6D7F">
        <w:t xml:space="preserve">sustained </w:t>
      </w:r>
      <w:r>
        <w:t xml:space="preserve">robust employment and wage growth on </w:t>
      </w:r>
      <w:r w:rsidR="005E6D7F">
        <w:t xml:space="preserve">this </w:t>
      </w:r>
      <w:r>
        <w:t>commercial corridor with cycling infrastructure.</w:t>
      </w:r>
    </w:p>
    <w:p w14:paraId="62C3AD5C" w14:textId="77777777" w:rsidR="00A61086" w:rsidRDefault="00FF17C4">
      <w:pPr>
        <w:pStyle w:val="BodyText"/>
      </w:pPr>
      <w:r>
        <w:t>Due to the lack of data during the construction period, no index values were calculated for this corridor.</w:t>
      </w:r>
    </w:p>
    <w:p w14:paraId="07DE7DFD" w14:textId="77777777" w:rsidR="00A61086" w:rsidRDefault="00E57DF2">
      <w:pPr>
        <w:pStyle w:val="BodyText"/>
      </w:pPr>
      <w:r>
        <w:rPr>
          <w:noProof/>
          <w:lang w:eastAsia="zh-TW"/>
        </w:rPr>
        <w:drawing>
          <wp:inline distT="0" distB="0" distL="0" distR="0" wp14:anchorId="5F70D2D3" wp14:editId="0654DC92">
            <wp:extent cx="5800725" cy="435054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4898" cy="4368673"/>
                    </a:xfrm>
                    <a:prstGeom prst="rect">
                      <a:avLst/>
                    </a:prstGeom>
                  </pic:spPr>
                </pic:pic>
              </a:graphicData>
            </a:graphic>
          </wp:inline>
        </w:drawing>
      </w:r>
    </w:p>
    <w:p w14:paraId="7D940509" w14:textId="77777777" w:rsidR="00F41A69" w:rsidRDefault="00F41A69" w:rsidP="00F41A69">
      <w:pPr>
        <w:pStyle w:val="Caption"/>
      </w:pPr>
      <w:r>
        <w:t xml:space="preserve">Figure </w:t>
      </w:r>
      <w:fldSimple w:instr=" STYLEREF 1 \s ">
        <w:r>
          <w:rPr>
            <w:noProof/>
          </w:rPr>
          <w:t>4</w:t>
        </w:r>
      </w:fldSimple>
      <w:r>
        <w:noBreakHyphen/>
      </w:r>
      <w:fldSimple w:instr=" SEQ Figure \* ARABIC \s 1 ">
        <w:r>
          <w:rPr>
            <w:noProof/>
          </w:rPr>
          <w:t>9</w:t>
        </w:r>
      </w:fldSimple>
      <w:r>
        <w:t>. Massachusetts Avenue Employment and Total Wages Comparison (QCEW)</w:t>
      </w:r>
    </w:p>
    <w:p w14:paraId="329217F7" w14:textId="77777777" w:rsidR="00F41A69" w:rsidRDefault="00F41A69" w:rsidP="00F41A69">
      <w:pPr>
        <w:pStyle w:val="Caption"/>
      </w:pPr>
      <w:r>
        <w:t xml:space="preserve">Table </w:t>
      </w:r>
      <w:fldSimple w:instr=" STYLEREF 1 \s ">
        <w:r>
          <w:rPr>
            <w:noProof/>
          </w:rPr>
          <w:t>4</w:t>
        </w:r>
      </w:fldSimple>
      <w:r>
        <w:noBreakHyphen/>
      </w:r>
      <w:fldSimple w:instr=" SEQ Table \* ARABIC \s 1 ">
        <w:r>
          <w:rPr>
            <w:noProof/>
          </w:rPr>
          <w:t>2</w:t>
        </w:r>
      </w:fldSimple>
      <w:r>
        <w:t>. Massachusetts Corridor Trend Analysis Summary</w:t>
      </w:r>
    </w:p>
    <w:tbl>
      <w:tblPr>
        <w:tblW w:w="10882" w:type="dxa"/>
        <w:jc w:val="center"/>
        <w:tblBorders>
          <w:top w:val="single" w:sz="2" w:space="0" w:color="DDDDDD"/>
          <w:left w:val="single" w:sz="2" w:space="0" w:color="DDDDDD"/>
          <w:bottom w:val="single" w:sz="2" w:space="0" w:color="DDDDDD"/>
          <w:right w:val="single" w:sz="2" w:space="0" w:color="DDDDDD"/>
        </w:tblBorders>
        <w:tblLayout w:type="fixed"/>
        <w:tblCellMar>
          <w:top w:w="15" w:type="dxa"/>
          <w:left w:w="15" w:type="dxa"/>
          <w:bottom w:w="15" w:type="dxa"/>
          <w:right w:w="15" w:type="dxa"/>
        </w:tblCellMar>
        <w:tblLook w:val="04A0" w:firstRow="1" w:lastRow="0" w:firstColumn="1" w:lastColumn="0" w:noHBand="0" w:noVBand="1"/>
      </w:tblPr>
      <w:tblGrid>
        <w:gridCol w:w="1702"/>
        <w:gridCol w:w="540"/>
        <w:gridCol w:w="810"/>
        <w:gridCol w:w="810"/>
        <w:gridCol w:w="720"/>
        <w:gridCol w:w="720"/>
        <w:gridCol w:w="810"/>
        <w:gridCol w:w="900"/>
        <w:gridCol w:w="810"/>
        <w:gridCol w:w="810"/>
        <w:gridCol w:w="810"/>
        <w:gridCol w:w="720"/>
        <w:gridCol w:w="720"/>
      </w:tblGrid>
      <w:tr w:rsidR="00F13912" w14:paraId="372FDE58" w14:textId="77777777" w:rsidTr="00F14DA5">
        <w:trPr>
          <w:jc w:val="center"/>
        </w:trPr>
        <w:tc>
          <w:tcPr>
            <w:tcW w:w="1702" w:type="dxa"/>
            <w:vMerge w:val="restart"/>
            <w:tcBorders>
              <w:top w:val="single" w:sz="4" w:space="0" w:color="000000"/>
              <w:left w:val="single" w:sz="6" w:space="0" w:color="DDDDDD"/>
              <w:right w:val="single" w:sz="6" w:space="0" w:color="DDDDDD"/>
            </w:tcBorders>
            <w:shd w:val="clear" w:color="auto" w:fill="auto"/>
            <w:tcMar>
              <w:top w:w="75" w:type="dxa"/>
              <w:left w:w="75" w:type="dxa"/>
              <w:bottom w:w="75" w:type="dxa"/>
              <w:right w:w="75" w:type="dxa"/>
            </w:tcMar>
            <w:vAlign w:val="bottom"/>
            <w:hideMark/>
          </w:tcPr>
          <w:p w14:paraId="29AE3593" w14:textId="77777777" w:rsidR="00F13912" w:rsidRDefault="00F13912" w:rsidP="00F14DA5">
            <w:pPr>
              <w:spacing w:after="0"/>
              <w:rPr>
                <w:rFonts w:ascii="&amp;quot" w:hAnsi="&amp;quot"/>
                <w:b/>
                <w:bCs/>
                <w:color w:val="333333"/>
                <w:sz w:val="51"/>
                <w:szCs w:val="51"/>
              </w:rPr>
            </w:pPr>
            <w:r>
              <w:rPr>
                <w:rFonts w:ascii="&amp;quot" w:hAnsi="&amp;quot"/>
                <w:b/>
                <w:bCs/>
                <w:color w:val="333333"/>
                <w:sz w:val="17"/>
                <w:szCs w:val="17"/>
              </w:rPr>
              <w:t xml:space="preserve">Area </w:t>
            </w:r>
          </w:p>
        </w:tc>
        <w:tc>
          <w:tcPr>
            <w:tcW w:w="4410" w:type="dxa"/>
            <w:gridSpan w:val="6"/>
            <w:tcBorders>
              <w:top w:val="single" w:sz="4" w:space="0" w:color="000000"/>
              <w:left w:val="single" w:sz="6" w:space="0" w:color="DDDDDD"/>
              <w:bottom w:val="nil"/>
              <w:right w:val="single" w:sz="6" w:space="0" w:color="DDDDDD"/>
            </w:tcBorders>
            <w:shd w:val="clear" w:color="auto" w:fill="auto"/>
            <w:tcMar>
              <w:top w:w="75" w:type="dxa"/>
              <w:left w:w="45" w:type="dxa"/>
              <w:bottom w:w="0" w:type="dxa"/>
              <w:right w:w="45" w:type="dxa"/>
            </w:tcMar>
            <w:vAlign w:val="bottom"/>
            <w:hideMark/>
          </w:tcPr>
          <w:p w14:paraId="1B4A0FE3"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Retail </w:t>
            </w:r>
          </w:p>
        </w:tc>
        <w:tc>
          <w:tcPr>
            <w:tcW w:w="4770" w:type="dxa"/>
            <w:gridSpan w:val="6"/>
            <w:tcBorders>
              <w:top w:val="single" w:sz="4" w:space="0" w:color="000000"/>
              <w:left w:val="single" w:sz="6" w:space="0" w:color="DDDDDD"/>
              <w:bottom w:val="nil"/>
              <w:right w:val="single" w:sz="6" w:space="0" w:color="DDDDDD"/>
            </w:tcBorders>
            <w:shd w:val="clear" w:color="auto" w:fill="auto"/>
            <w:tcMar>
              <w:top w:w="75" w:type="dxa"/>
              <w:left w:w="45" w:type="dxa"/>
              <w:bottom w:w="0" w:type="dxa"/>
              <w:right w:w="45" w:type="dxa"/>
            </w:tcMar>
            <w:vAlign w:val="bottom"/>
            <w:hideMark/>
          </w:tcPr>
          <w:p w14:paraId="035035E2"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Food </w:t>
            </w:r>
          </w:p>
        </w:tc>
      </w:tr>
      <w:tr w:rsidR="00F13912" w14:paraId="3016F73B" w14:textId="77777777" w:rsidTr="00F14DA5">
        <w:trPr>
          <w:jc w:val="center"/>
        </w:trPr>
        <w:tc>
          <w:tcPr>
            <w:tcW w:w="1702" w:type="dxa"/>
            <w:vMerge/>
            <w:tcBorders>
              <w:left w:val="single" w:sz="6" w:space="0" w:color="DDDDDD"/>
              <w:right w:val="single" w:sz="6" w:space="0" w:color="DDDDDD"/>
            </w:tcBorders>
            <w:shd w:val="clear" w:color="auto" w:fill="auto"/>
            <w:tcMar>
              <w:top w:w="75" w:type="dxa"/>
              <w:left w:w="75" w:type="dxa"/>
              <w:bottom w:w="75" w:type="dxa"/>
              <w:right w:w="75" w:type="dxa"/>
            </w:tcMar>
            <w:vAlign w:val="bottom"/>
            <w:hideMark/>
          </w:tcPr>
          <w:p w14:paraId="42719523" w14:textId="77777777" w:rsidR="00F13912" w:rsidRDefault="00F13912" w:rsidP="00F14DA5">
            <w:pPr>
              <w:spacing w:after="0"/>
              <w:rPr>
                <w:rFonts w:ascii="&amp;quot" w:hAnsi="&amp;quot"/>
                <w:b/>
                <w:bCs/>
                <w:color w:val="333333"/>
                <w:sz w:val="17"/>
                <w:szCs w:val="17"/>
              </w:rPr>
            </w:pPr>
          </w:p>
        </w:tc>
        <w:tc>
          <w:tcPr>
            <w:tcW w:w="1350" w:type="dxa"/>
            <w:gridSpan w:val="2"/>
            <w:tcBorders>
              <w:top w:val="single" w:sz="6" w:space="0" w:color="DDDDDD"/>
              <w:left w:val="single" w:sz="6" w:space="0" w:color="DDDDDD"/>
              <w:bottom w:val="nil"/>
              <w:right w:val="single" w:sz="6" w:space="0" w:color="DDDDDD"/>
            </w:tcBorders>
            <w:shd w:val="clear" w:color="auto" w:fill="auto"/>
            <w:tcMar>
              <w:top w:w="75" w:type="dxa"/>
              <w:left w:w="45" w:type="dxa"/>
              <w:bottom w:w="0" w:type="dxa"/>
              <w:right w:w="45" w:type="dxa"/>
            </w:tcMar>
            <w:vAlign w:val="bottom"/>
            <w:hideMark/>
          </w:tcPr>
          <w:p w14:paraId="1A732EEB"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Baseline </w:t>
            </w:r>
          </w:p>
        </w:tc>
        <w:tc>
          <w:tcPr>
            <w:tcW w:w="3060" w:type="dxa"/>
            <w:gridSpan w:val="4"/>
            <w:tcBorders>
              <w:top w:val="single" w:sz="6" w:space="0" w:color="DDDDDD"/>
              <w:left w:val="single" w:sz="6" w:space="0" w:color="DDDDDD"/>
              <w:bottom w:val="nil"/>
              <w:right w:val="single" w:sz="6" w:space="0" w:color="DDDDDD"/>
            </w:tcBorders>
            <w:shd w:val="clear" w:color="auto" w:fill="auto"/>
            <w:tcMar>
              <w:top w:w="75" w:type="dxa"/>
              <w:left w:w="45" w:type="dxa"/>
              <w:bottom w:w="0" w:type="dxa"/>
              <w:right w:w="45" w:type="dxa"/>
            </w:tcMar>
            <w:vAlign w:val="bottom"/>
            <w:hideMark/>
          </w:tcPr>
          <w:p w14:paraId="4FDBA09F"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Post-implementation </w:t>
            </w:r>
          </w:p>
        </w:tc>
        <w:tc>
          <w:tcPr>
            <w:tcW w:w="1710" w:type="dxa"/>
            <w:gridSpan w:val="2"/>
            <w:tcBorders>
              <w:top w:val="single" w:sz="6" w:space="0" w:color="DDDDDD"/>
              <w:left w:val="single" w:sz="6" w:space="0" w:color="DDDDDD"/>
              <w:bottom w:val="nil"/>
              <w:right w:val="single" w:sz="6" w:space="0" w:color="DDDDDD"/>
            </w:tcBorders>
            <w:shd w:val="clear" w:color="auto" w:fill="auto"/>
            <w:tcMar>
              <w:top w:w="75" w:type="dxa"/>
              <w:left w:w="45" w:type="dxa"/>
              <w:bottom w:w="0" w:type="dxa"/>
              <w:right w:w="45" w:type="dxa"/>
            </w:tcMar>
            <w:vAlign w:val="bottom"/>
            <w:hideMark/>
          </w:tcPr>
          <w:p w14:paraId="37ADD6E5"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Baseline </w:t>
            </w:r>
          </w:p>
        </w:tc>
        <w:tc>
          <w:tcPr>
            <w:tcW w:w="3060" w:type="dxa"/>
            <w:gridSpan w:val="4"/>
            <w:tcBorders>
              <w:top w:val="single" w:sz="6" w:space="0" w:color="DDDDDD"/>
              <w:left w:val="single" w:sz="6" w:space="0" w:color="DDDDDD"/>
              <w:bottom w:val="nil"/>
              <w:right w:val="single" w:sz="6" w:space="0" w:color="DDDDDD"/>
            </w:tcBorders>
            <w:shd w:val="clear" w:color="auto" w:fill="auto"/>
            <w:tcMar>
              <w:top w:w="75" w:type="dxa"/>
              <w:left w:w="45" w:type="dxa"/>
              <w:bottom w:w="0" w:type="dxa"/>
              <w:right w:w="45" w:type="dxa"/>
            </w:tcMar>
            <w:vAlign w:val="bottom"/>
            <w:hideMark/>
          </w:tcPr>
          <w:p w14:paraId="2319CE95"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Post-implementation </w:t>
            </w:r>
          </w:p>
        </w:tc>
      </w:tr>
      <w:tr w:rsidR="00F13912" w14:paraId="45C258CA" w14:textId="77777777" w:rsidTr="00F14DA5">
        <w:trPr>
          <w:jc w:val="center"/>
        </w:trPr>
        <w:tc>
          <w:tcPr>
            <w:tcW w:w="1702" w:type="dxa"/>
            <w:vMerge/>
            <w:tcBorders>
              <w:left w:val="single" w:sz="6" w:space="0" w:color="DDDDDD"/>
              <w:bottom w:val="single" w:sz="4" w:space="0" w:color="000000"/>
              <w:right w:val="single" w:sz="6" w:space="0" w:color="DDDDDD"/>
            </w:tcBorders>
            <w:shd w:val="clear" w:color="auto" w:fill="auto"/>
            <w:tcMar>
              <w:top w:w="75" w:type="dxa"/>
              <w:left w:w="75" w:type="dxa"/>
              <w:bottom w:w="75" w:type="dxa"/>
              <w:right w:w="75" w:type="dxa"/>
            </w:tcMar>
            <w:vAlign w:val="bottom"/>
            <w:hideMark/>
          </w:tcPr>
          <w:p w14:paraId="7C1768BF" w14:textId="77777777" w:rsidR="00F13912" w:rsidRDefault="00F13912" w:rsidP="00F14DA5">
            <w:pPr>
              <w:spacing w:after="0"/>
              <w:rPr>
                <w:rFonts w:ascii="&amp;quot" w:hAnsi="&amp;quot"/>
                <w:b/>
                <w:bCs/>
                <w:color w:val="333333"/>
                <w:sz w:val="17"/>
                <w:szCs w:val="17"/>
              </w:rPr>
            </w:pPr>
          </w:p>
        </w:tc>
        <w:tc>
          <w:tcPr>
            <w:tcW w:w="54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vAlign w:val="bottom"/>
            <w:hideMark/>
          </w:tcPr>
          <w:p w14:paraId="291A712E"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Base </w:t>
            </w:r>
          </w:p>
        </w:tc>
        <w:tc>
          <w:tcPr>
            <w:tcW w:w="81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vAlign w:val="bottom"/>
            <w:hideMark/>
          </w:tcPr>
          <w:p w14:paraId="7674CD0C"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Growth </w:t>
            </w:r>
          </w:p>
        </w:tc>
        <w:tc>
          <w:tcPr>
            <w:tcW w:w="81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vAlign w:val="bottom"/>
            <w:hideMark/>
          </w:tcPr>
          <w:p w14:paraId="79EB2F4E"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1st Year </w:t>
            </w:r>
          </w:p>
        </w:tc>
        <w:tc>
          <w:tcPr>
            <w:tcW w:w="72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vAlign w:val="bottom"/>
            <w:hideMark/>
          </w:tcPr>
          <w:p w14:paraId="4E82BD8B"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2nd Year </w:t>
            </w:r>
          </w:p>
        </w:tc>
        <w:tc>
          <w:tcPr>
            <w:tcW w:w="72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vAlign w:val="bottom"/>
            <w:hideMark/>
          </w:tcPr>
          <w:p w14:paraId="08AE613B"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3rd Year </w:t>
            </w:r>
          </w:p>
        </w:tc>
        <w:tc>
          <w:tcPr>
            <w:tcW w:w="81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vAlign w:val="bottom"/>
            <w:hideMark/>
          </w:tcPr>
          <w:p w14:paraId="24D4BED8"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Avg. </w:t>
            </w:r>
          </w:p>
        </w:tc>
        <w:tc>
          <w:tcPr>
            <w:tcW w:w="90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vAlign w:val="bottom"/>
            <w:hideMark/>
          </w:tcPr>
          <w:p w14:paraId="10AA36F8"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Base </w:t>
            </w:r>
          </w:p>
        </w:tc>
        <w:tc>
          <w:tcPr>
            <w:tcW w:w="81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vAlign w:val="bottom"/>
            <w:hideMark/>
          </w:tcPr>
          <w:p w14:paraId="6D0B7B0B"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Growth </w:t>
            </w:r>
          </w:p>
        </w:tc>
        <w:tc>
          <w:tcPr>
            <w:tcW w:w="81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vAlign w:val="bottom"/>
            <w:hideMark/>
          </w:tcPr>
          <w:p w14:paraId="6C7C429D"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1st Year </w:t>
            </w:r>
          </w:p>
        </w:tc>
        <w:tc>
          <w:tcPr>
            <w:tcW w:w="81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vAlign w:val="bottom"/>
            <w:hideMark/>
          </w:tcPr>
          <w:p w14:paraId="76147758"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2nd Year </w:t>
            </w:r>
          </w:p>
        </w:tc>
        <w:tc>
          <w:tcPr>
            <w:tcW w:w="72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vAlign w:val="bottom"/>
            <w:hideMark/>
          </w:tcPr>
          <w:p w14:paraId="0A3363FB"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3rd Year </w:t>
            </w:r>
          </w:p>
        </w:tc>
        <w:tc>
          <w:tcPr>
            <w:tcW w:w="72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vAlign w:val="bottom"/>
            <w:hideMark/>
          </w:tcPr>
          <w:p w14:paraId="708F5525" w14:textId="77777777" w:rsidR="00F13912" w:rsidRDefault="00F13912" w:rsidP="00F14DA5">
            <w:pPr>
              <w:spacing w:after="0"/>
              <w:jc w:val="center"/>
              <w:rPr>
                <w:rFonts w:ascii="&amp;quot" w:hAnsi="&amp;quot"/>
                <w:b/>
                <w:bCs/>
                <w:color w:val="333333"/>
                <w:sz w:val="17"/>
                <w:szCs w:val="17"/>
              </w:rPr>
            </w:pPr>
            <w:r>
              <w:rPr>
                <w:rFonts w:ascii="&amp;quot" w:hAnsi="&amp;quot"/>
                <w:b/>
                <w:bCs/>
                <w:color w:val="333333"/>
                <w:sz w:val="17"/>
                <w:szCs w:val="17"/>
              </w:rPr>
              <w:t xml:space="preserve">Avg. </w:t>
            </w:r>
          </w:p>
        </w:tc>
      </w:tr>
      <w:tr w:rsidR="00F13912" w14:paraId="46EECE24" w14:textId="77777777" w:rsidTr="00F14DA5">
        <w:trPr>
          <w:jc w:val="center"/>
        </w:trPr>
        <w:tc>
          <w:tcPr>
            <w:tcW w:w="10882" w:type="dxa"/>
            <w:gridSpan w:val="13"/>
            <w:tcBorders>
              <w:top w:val="single" w:sz="4" w:space="0" w:color="000000"/>
              <w:left w:val="single" w:sz="6" w:space="0" w:color="DDDDDD"/>
              <w:bottom w:val="single" w:sz="6" w:space="0" w:color="333333"/>
              <w:right w:val="single" w:sz="6" w:space="0" w:color="DDDDDD"/>
            </w:tcBorders>
            <w:shd w:val="clear" w:color="auto" w:fill="auto"/>
            <w:tcMar>
              <w:top w:w="75" w:type="dxa"/>
              <w:left w:w="75" w:type="dxa"/>
              <w:bottom w:w="75" w:type="dxa"/>
              <w:right w:w="75" w:type="dxa"/>
            </w:tcMar>
            <w:hideMark/>
          </w:tcPr>
          <w:p w14:paraId="4BD50A09" w14:textId="77777777" w:rsidR="00F13912" w:rsidRDefault="00F13912" w:rsidP="00F14DA5">
            <w:pPr>
              <w:spacing w:after="0"/>
              <w:rPr>
                <w:rFonts w:ascii="&amp;quot" w:hAnsi="&amp;quot"/>
                <w:color w:val="333333"/>
                <w:sz w:val="17"/>
                <w:szCs w:val="17"/>
              </w:rPr>
            </w:pPr>
            <w:r>
              <w:rPr>
                <w:rStyle w:val="Strong"/>
                <w:rFonts w:ascii="&amp;quot" w:hAnsi="&amp;quot"/>
                <w:color w:val="333333"/>
                <w:sz w:val="17"/>
                <w:szCs w:val="17"/>
              </w:rPr>
              <w:t>LEHD: [employment</w:t>
            </w:r>
            <w:r>
              <w:rPr>
                <w:rFonts w:ascii="&amp;quot" w:hAnsi="&amp;quot"/>
                <w:color w:val="333333"/>
                <w:sz w:val="17"/>
                <w:szCs w:val="17"/>
              </w:rPr>
              <w:t>]</w:t>
            </w:r>
          </w:p>
        </w:tc>
      </w:tr>
      <w:tr w:rsidR="00F13912" w14:paraId="152F8B68" w14:textId="77777777" w:rsidTr="00F41A69">
        <w:trPr>
          <w:jc w:val="center"/>
        </w:trPr>
        <w:tc>
          <w:tcPr>
            <w:tcW w:w="1702" w:type="dxa"/>
            <w:tcBorders>
              <w:top w:val="single" w:sz="6" w:space="0" w:color="DDDDDD"/>
              <w:left w:val="single" w:sz="6" w:space="0" w:color="DDDDDD"/>
              <w:bottom w:val="single" w:sz="6" w:space="0" w:color="DDDDDD"/>
              <w:right w:val="single" w:sz="6" w:space="0" w:color="DDDDDD"/>
            </w:tcBorders>
            <w:shd w:val="clear" w:color="auto" w:fill="auto"/>
            <w:tcMar>
              <w:top w:w="75" w:type="dxa"/>
              <w:left w:w="330" w:type="dxa"/>
              <w:bottom w:w="75" w:type="dxa"/>
              <w:right w:w="75" w:type="dxa"/>
            </w:tcMar>
            <w:hideMark/>
          </w:tcPr>
          <w:p w14:paraId="526710DF" w14:textId="77777777" w:rsidR="00F13912" w:rsidRDefault="00F13912" w:rsidP="00F13912">
            <w:pPr>
              <w:spacing w:after="0" w:line="236" w:lineRule="atLeast"/>
              <w:rPr>
                <w:rFonts w:ascii="&amp;quot" w:hAnsi="&amp;quot"/>
                <w:color w:val="333333"/>
                <w:sz w:val="17"/>
                <w:szCs w:val="17"/>
              </w:rPr>
            </w:pPr>
            <w:r>
              <w:rPr>
                <w:rFonts w:ascii="&amp;quot" w:hAnsi="&amp;quot"/>
                <w:color w:val="333333"/>
                <w:sz w:val="17"/>
                <w:szCs w:val="17"/>
              </w:rPr>
              <w:t xml:space="preserve">Treatment </w:t>
            </w:r>
          </w:p>
        </w:tc>
        <w:tc>
          <w:tcPr>
            <w:tcW w:w="5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FF1407" w14:textId="77777777" w:rsidR="00F13912" w:rsidRDefault="007764ED" w:rsidP="00F13912">
            <w:pPr>
              <w:spacing w:after="0"/>
              <w:jc w:val="center"/>
              <w:rPr>
                <w:rFonts w:ascii="&amp;quot" w:hAnsi="&amp;quot"/>
                <w:color w:val="333333"/>
                <w:sz w:val="17"/>
                <w:szCs w:val="17"/>
              </w:rPr>
            </w:pPr>
            <w:r>
              <w:rPr>
                <w:rFonts w:ascii="&amp;quot" w:hAnsi="&amp;quot"/>
                <w:color w:val="333333"/>
                <w:sz w:val="17"/>
                <w:szCs w:val="17"/>
              </w:rPr>
              <w:t>12</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B0224B"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20513F"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D981A1"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4EC99D"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997ADB" w14:textId="77777777" w:rsidR="00F13912" w:rsidRDefault="00F13912" w:rsidP="00F13912">
            <w:pPr>
              <w:spacing w:after="0"/>
              <w:jc w:val="center"/>
              <w:rPr>
                <w:rFonts w:ascii="&amp;quot" w:hAnsi="&amp;quot"/>
                <w:color w:val="333333"/>
                <w:sz w:val="17"/>
                <w:szCs w:val="17"/>
              </w:rPr>
            </w:pPr>
            <w:r>
              <w:rPr>
                <w:rFonts w:ascii="&amp;quot" w:hAnsi="&amp;quot"/>
                <w:color w:val="333333"/>
                <w:sz w:val="17"/>
                <w:szCs w:val="17"/>
              </w:rPr>
              <w:t>-</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0AEFE9"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129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A29B01"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-9.07%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215BA3"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-21.71%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C57A19"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53.47%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E9CA8D"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14.19% </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0C6947"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 xml:space="preserve">15.32% </w:t>
            </w:r>
          </w:p>
        </w:tc>
      </w:tr>
      <w:tr w:rsidR="007764ED" w14:paraId="5FD15AE9" w14:textId="77777777" w:rsidTr="00F14DA5">
        <w:trPr>
          <w:jc w:val="center"/>
        </w:trPr>
        <w:tc>
          <w:tcPr>
            <w:tcW w:w="1702" w:type="dxa"/>
            <w:tcBorders>
              <w:top w:val="single" w:sz="6" w:space="0" w:color="DDDDDD"/>
              <w:left w:val="single" w:sz="6" w:space="0" w:color="DDDDDD"/>
              <w:bottom w:val="single" w:sz="4" w:space="0" w:color="000000"/>
              <w:right w:val="single" w:sz="6" w:space="0" w:color="DDDDDD"/>
            </w:tcBorders>
            <w:shd w:val="clear" w:color="auto" w:fill="auto"/>
            <w:tcMar>
              <w:top w:w="75" w:type="dxa"/>
              <w:left w:w="330" w:type="dxa"/>
              <w:bottom w:w="75" w:type="dxa"/>
              <w:right w:w="75" w:type="dxa"/>
            </w:tcMar>
          </w:tcPr>
          <w:p w14:paraId="5C03DA9D" w14:textId="77777777" w:rsidR="007764ED" w:rsidRDefault="007764ED" w:rsidP="007764ED">
            <w:pPr>
              <w:spacing w:after="0" w:line="236" w:lineRule="atLeast"/>
              <w:rPr>
                <w:rFonts w:ascii="&amp;quot" w:hAnsi="&amp;quot"/>
                <w:color w:val="333333"/>
                <w:sz w:val="17"/>
                <w:szCs w:val="17"/>
              </w:rPr>
            </w:pPr>
            <w:r>
              <w:rPr>
                <w:rFonts w:ascii="&amp;quot" w:hAnsi="&amp;quot"/>
                <w:color w:val="333333"/>
                <w:sz w:val="17"/>
                <w:szCs w:val="17"/>
              </w:rPr>
              <w:t xml:space="preserve">Control: Mass Ave </w:t>
            </w:r>
          </w:p>
        </w:tc>
        <w:tc>
          <w:tcPr>
            <w:tcW w:w="54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1AE69DF7" w14:textId="77777777" w:rsidR="007764ED" w:rsidRDefault="007764ED" w:rsidP="007764ED">
            <w:pPr>
              <w:spacing w:after="0"/>
              <w:jc w:val="center"/>
              <w:rPr>
                <w:rFonts w:ascii="&amp;quot" w:hAnsi="&amp;quot"/>
                <w:color w:val="333333"/>
                <w:sz w:val="17"/>
                <w:szCs w:val="17"/>
              </w:rPr>
            </w:pPr>
            <w:r>
              <w:rPr>
                <w:rFonts w:ascii="&amp;quot" w:hAnsi="&amp;quot"/>
                <w:color w:val="333333"/>
                <w:sz w:val="17"/>
                <w:szCs w:val="17"/>
              </w:rPr>
              <w:t>20</w:t>
            </w:r>
          </w:p>
        </w:tc>
        <w:tc>
          <w:tcPr>
            <w:tcW w:w="81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1C46D9E9" w14:textId="77777777" w:rsidR="007764ED" w:rsidRDefault="007764ED" w:rsidP="007764ED">
            <w:pPr>
              <w:spacing w:after="0"/>
              <w:jc w:val="center"/>
              <w:rPr>
                <w:rFonts w:ascii="&amp;quot" w:hAnsi="&amp;quot"/>
                <w:color w:val="333333"/>
                <w:sz w:val="17"/>
                <w:szCs w:val="17"/>
              </w:rPr>
            </w:pPr>
            <w:r>
              <w:rPr>
                <w:rFonts w:ascii="&amp;quot" w:hAnsi="&amp;quot"/>
                <w:color w:val="333333"/>
                <w:sz w:val="17"/>
                <w:szCs w:val="17"/>
              </w:rPr>
              <w:t xml:space="preserve">-14.29% </w:t>
            </w:r>
          </w:p>
        </w:tc>
        <w:tc>
          <w:tcPr>
            <w:tcW w:w="81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65227691" w14:textId="77777777" w:rsidR="007764ED" w:rsidRDefault="007764ED" w:rsidP="007764ED">
            <w:pPr>
              <w:spacing w:after="0"/>
              <w:jc w:val="center"/>
              <w:rPr>
                <w:rFonts w:ascii="&amp;quot" w:hAnsi="&amp;quot"/>
                <w:color w:val="333333"/>
                <w:sz w:val="17"/>
                <w:szCs w:val="17"/>
              </w:rPr>
            </w:pPr>
            <w:r>
              <w:rPr>
                <w:rFonts w:ascii="&amp;quot" w:hAnsi="&amp;quot"/>
                <w:color w:val="333333"/>
                <w:sz w:val="17"/>
                <w:szCs w:val="17"/>
              </w:rPr>
              <w:t xml:space="preserve">10.00% </w:t>
            </w:r>
          </w:p>
        </w:tc>
        <w:tc>
          <w:tcPr>
            <w:tcW w:w="72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762B77FB" w14:textId="77777777" w:rsidR="007764ED" w:rsidRDefault="007764ED" w:rsidP="007764ED">
            <w:pPr>
              <w:spacing w:after="0"/>
              <w:jc w:val="center"/>
              <w:rPr>
                <w:rFonts w:ascii="&amp;quot" w:hAnsi="&amp;quot"/>
                <w:color w:val="333333"/>
                <w:sz w:val="17"/>
                <w:szCs w:val="17"/>
              </w:rPr>
            </w:pPr>
            <w:r>
              <w:rPr>
                <w:rFonts w:ascii="&amp;quot" w:hAnsi="&amp;quot"/>
                <w:color w:val="333333"/>
                <w:sz w:val="17"/>
                <w:szCs w:val="17"/>
              </w:rPr>
              <w:t xml:space="preserve">13.64% </w:t>
            </w:r>
          </w:p>
        </w:tc>
        <w:tc>
          <w:tcPr>
            <w:tcW w:w="72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7CA6DA2E" w14:textId="77777777" w:rsidR="007764ED" w:rsidRDefault="007764ED" w:rsidP="007764ED">
            <w:pPr>
              <w:spacing w:after="0"/>
              <w:jc w:val="center"/>
              <w:rPr>
                <w:rFonts w:ascii="&amp;quot" w:hAnsi="&amp;quot"/>
                <w:color w:val="333333"/>
                <w:sz w:val="17"/>
                <w:szCs w:val="17"/>
              </w:rPr>
            </w:pPr>
            <w:r>
              <w:rPr>
                <w:rFonts w:ascii="&amp;quot" w:hAnsi="&amp;quot"/>
                <w:color w:val="333333"/>
                <w:sz w:val="17"/>
                <w:szCs w:val="17"/>
              </w:rPr>
              <w:t xml:space="preserve">12.00% </w:t>
            </w:r>
          </w:p>
        </w:tc>
        <w:tc>
          <w:tcPr>
            <w:tcW w:w="81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280D1C9C" w14:textId="77777777" w:rsidR="007764ED" w:rsidRDefault="007764ED" w:rsidP="007764ED">
            <w:pPr>
              <w:spacing w:after="0"/>
              <w:jc w:val="center"/>
              <w:rPr>
                <w:rFonts w:ascii="&amp;quot" w:hAnsi="&amp;quot"/>
                <w:color w:val="333333"/>
                <w:sz w:val="17"/>
                <w:szCs w:val="17"/>
              </w:rPr>
            </w:pPr>
            <w:r>
              <w:rPr>
                <w:rFonts w:ascii="&amp;quot" w:hAnsi="&amp;quot"/>
                <w:color w:val="333333"/>
                <w:sz w:val="17"/>
                <w:szCs w:val="17"/>
              </w:rPr>
              <w:t xml:space="preserve">11.88% </w:t>
            </w:r>
          </w:p>
        </w:tc>
        <w:tc>
          <w:tcPr>
            <w:tcW w:w="90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1A0F56EE" w14:textId="77777777" w:rsidR="007764ED" w:rsidRDefault="007764ED" w:rsidP="007764ED">
            <w:pPr>
              <w:spacing w:after="0" w:line="236" w:lineRule="atLeast"/>
              <w:jc w:val="center"/>
              <w:rPr>
                <w:rFonts w:ascii="&amp;quot" w:hAnsi="&amp;quot"/>
                <w:color w:val="333333"/>
                <w:sz w:val="17"/>
                <w:szCs w:val="17"/>
              </w:rPr>
            </w:pPr>
            <w:r>
              <w:rPr>
                <w:rFonts w:ascii="&amp;quot" w:hAnsi="&amp;quot"/>
                <w:color w:val="333333"/>
                <w:sz w:val="17"/>
                <w:szCs w:val="17"/>
              </w:rPr>
              <w:t xml:space="preserve">273 </w:t>
            </w:r>
          </w:p>
        </w:tc>
        <w:tc>
          <w:tcPr>
            <w:tcW w:w="81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59869C29" w14:textId="77777777" w:rsidR="007764ED" w:rsidRDefault="007764ED" w:rsidP="007764ED">
            <w:pPr>
              <w:spacing w:after="0" w:line="236" w:lineRule="atLeast"/>
              <w:jc w:val="center"/>
              <w:rPr>
                <w:rFonts w:ascii="&amp;quot" w:hAnsi="&amp;quot"/>
                <w:color w:val="333333"/>
                <w:sz w:val="17"/>
                <w:szCs w:val="17"/>
              </w:rPr>
            </w:pPr>
            <w:r>
              <w:rPr>
                <w:rFonts w:ascii="&amp;quot" w:hAnsi="&amp;quot"/>
                <w:color w:val="333333"/>
                <w:sz w:val="17"/>
                <w:szCs w:val="17"/>
              </w:rPr>
              <w:t xml:space="preserve">-3.38% </w:t>
            </w:r>
          </w:p>
        </w:tc>
        <w:tc>
          <w:tcPr>
            <w:tcW w:w="81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1C21B779" w14:textId="77777777" w:rsidR="007764ED" w:rsidRDefault="007764ED" w:rsidP="007764ED">
            <w:pPr>
              <w:spacing w:after="0" w:line="236" w:lineRule="atLeast"/>
              <w:jc w:val="center"/>
              <w:rPr>
                <w:rFonts w:ascii="&amp;quot" w:hAnsi="&amp;quot"/>
                <w:color w:val="333333"/>
                <w:sz w:val="17"/>
                <w:szCs w:val="17"/>
              </w:rPr>
            </w:pPr>
            <w:r>
              <w:rPr>
                <w:rFonts w:ascii="&amp;quot" w:hAnsi="&amp;quot"/>
                <w:color w:val="333333"/>
                <w:sz w:val="17"/>
                <w:szCs w:val="17"/>
              </w:rPr>
              <w:t xml:space="preserve">-16.48% </w:t>
            </w:r>
          </w:p>
        </w:tc>
        <w:tc>
          <w:tcPr>
            <w:tcW w:w="81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548869FB" w14:textId="77777777" w:rsidR="007764ED" w:rsidRDefault="007764ED" w:rsidP="007764ED">
            <w:pPr>
              <w:spacing w:after="0" w:line="236" w:lineRule="atLeast"/>
              <w:jc w:val="center"/>
              <w:rPr>
                <w:rFonts w:ascii="&amp;quot" w:hAnsi="&amp;quot"/>
                <w:color w:val="333333"/>
                <w:sz w:val="17"/>
                <w:szCs w:val="17"/>
              </w:rPr>
            </w:pPr>
            <w:r>
              <w:rPr>
                <w:rFonts w:ascii="&amp;quot" w:hAnsi="&amp;quot"/>
                <w:color w:val="333333"/>
                <w:sz w:val="17"/>
                <w:szCs w:val="17"/>
              </w:rPr>
              <w:t xml:space="preserve">25.00% </w:t>
            </w:r>
          </w:p>
        </w:tc>
        <w:tc>
          <w:tcPr>
            <w:tcW w:w="72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1056B7E6" w14:textId="77777777" w:rsidR="007764ED" w:rsidRDefault="007764ED" w:rsidP="007764ED">
            <w:pPr>
              <w:spacing w:after="0" w:line="236" w:lineRule="atLeast"/>
              <w:jc w:val="center"/>
              <w:rPr>
                <w:rFonts w:ascii="&amp;quot" w:hAnsi="&amp;quot"/>
                <w:color w:val="333333"/>
                <w:sz w:val="17"/>
                <w:szCs w:val="17"/>
              </w:rPr>
            </w:pPr>
            <w:r>
              <w:rPr>
                <w:rFonts w:ascii="&amp;quot" w:hAnsi="&amp;quot"/>
                <w:color w:val="333333"/>
                <w:sz w:val="17"/>
                <w:szCs w:val="17"/>
              </w:rPr>
              <w:t xml:space="preserve">28.77% </w:t>
            </w:r>
          </w:p>
        </w:tc>
        <w:tc>
          <w:tcPr>
            <w:tcW w:w="720" w:type="dxa"/>
            <w:tcBorders>
              <w:top w:val="single" w:sz="6" w:space="0" w:color="DDDDDD"/>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69D9B3BD" w14:textId="77777777" w:rsidR="007764ED" w:rsidRDefault="007764ED" w:rsidP="007764ED">
            <w:pPr>
              <w:spacing w:after="0" w:line="236" w:lineRule="atLeast"/>
              <w:jc w:val="center"/>
              <w:rPr>
                <w:rFonts w:ascii="&amp;quot" w:hAnsi="&amp;quot"/>
                <w:color w:val="333333"/>
                <w:sz w:val="17"/>
                <w:szCs w:val="17"/>
              </w:rPr>
            </w:pPr>
            <w:r>
              <w:rPr>
                <w:rFonts w:ascii="&amp;quot" w:hAnsi="&amp;quot"/>
                <w:color w:val="333333"/>
                <w:sz w:val="17"/>
                <w:szCs w:val="17"/>
              </w:rPr>
              <w:t xml:space="preserve">12.43% </w:t>
            </w:r>
          </w:p>
        </w:tc>
      </w:tr>
      <w:tr w:rsidR="00F13912" w14:paraId="05490EDE" w14:textId="77777777" w:rsidTr="00F14DA5">
        <w:trPr>
          <w:jc w:val="center"/>
        </w:trPr>
        <w:tc>
          <w:tcPr>
            <w:tcW w:w="10882" w:type="dxa"/>
            <w:gridSpan w:val="13"/>
            <w:tcBorders>
              <w:top w:val="single" w:sz="4" w:space="0" w:color="000000"/>
              <w:left w:val="single" w:sz="6" w:space="0" w:color="DDDDDD"/>
              <w:bottom w:val="single" w:sz="6" w:space="0" w:color="333333"/>
              <w:right w:val="single" w:sz="6" w:space="0" w:color="DDDDDD"/>
            </w:tcBorders>
            <w:shd w:val="clear" w:color="auto" w:fill="auto"/>
            <w:tcMar>
              <w:top w:w="75" w:type="dxa"/>
              <w:left w:w="75" w:type="dxa"/>
              <w:bottom w:w="75" w:type="dxa"/>
              <w:right w:w="75" w:type="dxa"/>
            </w:tcMar>
            <w:hideMark/>
          </w:tcPr>
          <w:p w14:paraId="7D998325" w14:textId="77777777" w:rsidR="00F13912" w:rsidRDefault="00F13912" w:rsidP="00F14DA5">
            <w:pPr>
              <w:spacing w:after="0"/>
              <w:rPr>
                <w:rFonts w:ascii="&amp;quot" w:hAnsi="&amp;quot"/>
                <w:color w:val="333333"/>
                <w:sz w:val="17"/>
                <w:szCs w:val="17"/>
              </w:rPr>
            </w:pPr>
            <w:r w:rsidRPr="00F13912">
              <w:rPr>
                <w:rStyle w:val="Strong"/>
                <w:rFonts w:ascii="&amp;quot" w:hAnsi="&amp;quot"/>
                <w:color w:val="333333"/>
                <w:sz w:val="17"/>
                <w:szCs w:val="17"/>
              </w:rPr>
              <w:lastRenderedPageBreak/>
              <w:t>Sales: [sales tax, $]</w:t>
            </w:r>
          </w:p>
        </w:tc>
      </w:tr>
      <w:tr w:rsidR="00F13912" w14:paraId="1DAB8C42" w14:textId="77777777" w:rsidTr="00F41A69">
        <w:trPr>
          <w:jc w:val="center"/>
        </w:trPr>
        <w:tc>
          <w:tcPr>
            <w:tcW w:w="1702" w:type="dxa"/>
            <w:tcBorders>
              <w:top w:val="single" w:sz="6" w:space="0" w:color="DDDDDD"/>
              <w:left w:val="single" w:sz="6" w:space="0" w:color="DDDDDD"/>
              <w:bottom w:val="single" w:sz="6" w:space="0" w:color="DDDDDD"/>
              <w:right w:val="single" w:sz="6" w:space="0" w:color="DDDDDD"/>
            </w:tcBorders>
            <w:shd w:val="clear" w:color="auto" w:fill="auto"/>
            <w:tcMar>
              <w:top w:w="75" w:type="dxa"/>
              <w:left w:w="330" w:type="dxa"/>
              <w:bottom w:w="75" w:type="dxa"/>
              <w:right w:w="75" w:type="dxa"/>
            </w:tcMar>
          </w:tcPr>
          <w:p w14:paraId="5ECC07D4" w14:textId="77777777" w:rsidR="00F13912" w:rsidRDefault="00F13912" w:rsidP="00F14DA5">
            <w:pPr>
              <w:spacing w:after="0" w:line="236" w:lineRule="atLeast"/>
              <w:rPr>
                <w:rFonts w:ascii="&amp;quot" w:hAnsi="&amp;quot"/>
                <w:color w:val="333333"/>
                <w:sz w:val="17"/>
                <w:szCs w:val="17"/>
              </w:rPr>
            </w:pPr>
          </w:p>
        </w:tc>
        <w:tc>
          <w:tcPr>
            <w:tcW w:w="1350" w:type="dxa"/>
            <w:gridSpan w:val="2"/>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tcPr>
          <w:p w14:paraId="54553E29" w14:textId="77777777" w:rsidR="00F13912" w:rsidRDefault="00F13912" w:rsidP="00F14DA5">
            <w:pPr>
              <w:spacing w:after="0" w:line="236" w:lineRule="atLeast"/>
              <w:jc w:val="center"/>
              <w:rPr>
                <w:rFonts w:ascii="&amp;quot" w:hAnsi="&amp;quot"/>
                <w:color w:val="333333"/>
                <w:sz w:val="17"/>
                <w:szCs w:val="17"/>
              </w:rPr>
            </w:pPr>
          </w:p>
        </w:tc>
        <w:tc>
          <w:tcPr>
            <w:tcW w:w="153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53E852E" w14:textId="77777777" w:rsidR="00F13912" w:rsidRPr="00F13912" w:rsidRDefault="00F13912" w:rsidP="00F14DA5">
            <w:pPr>
              <w:spacing w:after="0" w:line="236" w:lineRule="atLeast"/>
              <w:jc w:val="center"/>
              <w:rPr>
                <w:rFonts w:ascii="&amp;quot" w:hAnsi="&amp;quot"/>
                <w:b/>
                <w:color w:val="333333"/>
                <w:sz w:val="17"/>
                <w:szCs w:val="17"/>
              </w:rPr>
            </w:pPr>
            <w:r w:rsidRPr="00F13912">
              <w:rPr>
                <w:rFonts w:ascii="&amp;quot" w:hAnsi="&amp;quot"/>
                <w:b/>
                <w:color w:val="333333"/>
                <w:sz w:val="17"/>
                <w:szCs w:val="17"/>
              </w:rPr>
              <w:t>Baseline</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A883132" w14:textId="77777777" w:rsidR="00F13912" w:rsidRPr="00F13912" w:rsidRDefault="00F13912" w:rsidP="00F14DA5">
            <w:pPr>
              <w:spacing w:after="0" w:line="236" w:lineRule="atLeast"/>
              <w:jc w:val="center"/>
              <w:rPr>
                <w:rFonts w:ascii="&amp;quot" w:hAnsi="&amp;quot"/>
                <w:b/>
                <w:color w:val="333333"/>
                <w:sz w:val="17"/>
                <w:szCs w:val="17"/>
              </w:rPr>
            </w:pPr>
            <w:r w:rsidRPr="00F13912">
              <w:rPr>
                <w:rFonts w:ascii="&amp;quot" w:hAnsi="&amp;quot"/>
                <w:b/>
                <w:color w:val="333333"/>
                <w:sz w:val="17"/>
                <w:szCs w:val="17"/>
              </w:rPr>
              <w:t>Pre-Growth</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vAlign w:val="bottom"/>
          </w:tcPr>
          <w:p w14:paraId="45D40BD4" w14:textId="77777777" w:rsidR="00F13912" w:rsidRPr="00F13912" w:rsidRDefault="00F13912" w:rsidP="00F14DA5">
            <w:pPr>
              <w:spacing w:after="0" w:line="236" w:lineRule="atLeast"/>
              <w:jc w:val="center"/>
              <w:rPr>
                <w:rFonts w:ascii="&amp;quot" w:hAnsi="&amp;quot"/>
                <w:b/>
                <w:color w:val="333333"/>
                <w:sz w:val="17"/>
                <w:szCs w:val="17"/>
              </w:rPr>
            </w:pPr>
            <w:r w:rsidRPr="00F13912">
              <w:rPr>
                <w:rFonts w:ascii="&amp;quot" w:hAnsi="&amp;quot"/>
                <w:b/>
                <w:color w:val="333333"/>
                <w:sz w:val="17"/>
                <w:szCs w:val="17"/>
              </w:rPr>
              <w:t xml:space="preserve">1st Year </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vAlign w:val="bottom"/>
          </w:tcPr>
          <w:p w14:paraId="72D6947C" w14:textId="77777777" w:rsidR="00F13912" w:rsidRPr="00F13912" w:rsidRDefault="00F13912" w:rsidP="00F14DA5">
            <w:pPr>
              <w:spacing w:after="0" w:line="236" w:lineRule="atLeast"/>
              <w:jc w:val="center"/>
              <w:rPr>
                <w:rFonts w:ascii="&amp;quot" w:hAnsi="&amp;quot"/>
                <w:b/>
                <w:color w:val="333333"/>
                <w:sz w:val="17"/>
                <w:szCs w:val="17"/>
              </w:rPr>
            </w:pPr>
            <w:r w:rsidRPr="00F13912">
              <w:rPr>
                <w:rFonts w:ascii="&amp;quot" w:hAnsi="&amp;quot"/>
                <w:b/>
                <w:color w:val="333333"/>
                <w:sz w:val="17"/>
                <w:szCs w:val="17"/>
              </w:rPr>
              <w:t xml:space="preserve">2nd Year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vAlign w:val="bottom"/>
          </w:tcPr>
          <w:p w14:paraId="2D0B5C66" w14:textId="77777777" w:rsidR="00F13912" w:rsidRPr="00F13912" w:rsidRDefault="00F13912" w:rsidP="00F14DA5">
            <w:pPr>
              <w:spacing w:after="0" w:line="236" w:lineRule="atLeast"/>
              <w:jc w:val="center"/>
              <w:rPr>
                <w:rFonts w:ascii="&amp;quot" w:hAnsi="&amp;quot"/>
                <w:b/>
                <w:color w:val="333333"/>
                <w:sz w:val="17"/>
                <w:szCs w:val="17"/>
              </w:rPr>
            </w:pPr>
            <w:r w:rsidRPr="00F13912">
              <w:rPr>
                <w:rFonts w:ascii="&amp;quot" w:hAnsi="&amp;quot"/>
                <w:b/>
                <w:color w:val="333333"/>
                <w:sz w:val="17"/>
                <w:szCs w:val="17"/>
              </w:rPr>
              <w:t xml:space="preserve">3rd Year </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vAlign w:val="bottom"/>
          </w:tcPr>
          <w:p w14:paraId="27E47891" w14:textId="77777777" w:rsidR="00F13912" w:rsidRPr="00F13912" w:rsidRDefault="00F13912" w:rsidP="00F14DA5">
            <w:pPr>
              <w:spacing w:after="0" w:line="236" w:lineRule="atLeast"/>
              <w:jc w:val="center"/>
              <w:rPr>
                <w:rFonts w:ascii="&amp;quot" w:hAnsi="&amp;quot"/>
                <w:b/>
                <w:color w:val="333333"/>
                <w:sz w:val="17"/>
                <w:szCs w:val="17"/>
              </w:rPr>
            </w:pPr>
            <w:r w:rsidRPr="00F13912">
              <w:rPr>
                <w:rFonts w:ascii="&amp;quot" w:hAnsi="&amp;quot"/>
                <w:b/>
                <w:color w:val="333333"/>
                <w:sz w:val="17"/>
                <w:szCs w:val="17"/>
              </w:rPr>
              <w:t xml:space="preserve">Avg. </w:t>
            </w:r>
          </w:p>
        </w:tc>
        <w:tc>
          <w:tcPr>
            <w:tcW w:w="2250" w:type="dxa"/>
            <w:gridSpan w:val="3"/>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tcPr>
          <w:p w14:paraId="02F21F68" w14:textId="77777777" w:rsidR="00F13912" w:rsidRDefault="00F13912" w:rsidP="00F14DA5">
            <w:pPr>
              <w:spacing w:after="0"/>
              <w:jc w:val="center"/>
              <w:rPr>
                <w:rFonts w:ascii="&amp;quot" w:hAnsi="&amp;quot"/>
                <w:color w:val="333333"/>
                <w:sz w:val="17"/>
                <w:szCs w:val="17"/>
              </w:rPr>
            </w:pPr>
          </w:p>
        </w:tc>
      </w:tr>
      <w:tr w:rsidR="00F13912" w14:paraId="115AE336" w14:textId="77777777" w:rsidTr="00F41A69">
        <w:trPr>
          <w:jc w:val="center"/>
        </w:trPr>
        <w:tc>
          <w:tcPr>
            <w:tcW w:w="1702" w:type="dxa"/>
            <w:tcBorders>
              <w:top w:val="single" w:sz="6" w:space="0" w:color="DDDDDD"/>
              <w:left w:val="single" w:sz="6" w:space="0" w:color="DDDDDD"/>
              <w:bottom w:val="single" w:sz="6" w:space="0" w:color="DDDDDD"/>
              <w:right w:val="single" w:sz="6" w:space="0" w:color="DDDDDD"/>
            </w:tcBorders>
            <w:shd w:val="clear" w:color="auto" w:fill="auto"/>
            <w:tcMar>
              <w:top w:w="75" w:type="dxa"/>
              <w:left w:w="330" w:type="dxa"/>
              <w:bottom w:w="75" w:type="dxa"/>
              <w:right w:w="75" w:type="dxa"/>
            </w:tcMar>
            <w:hideMark/>
          </w:tcPr>
          <w:p w14:paraId="593091A6" w14:textId="77777777" w:rsidR="00F13912" w:rsidRDefault="00F13912" w:rsidP="00F13912">
            <w:pPr>
              <w:spacing w:after="0" w:line="236" w:lineRule="atLeast"/>
              <w:rPr>
                <w:rFonts w:ascii="&amp;quot" w:hAnsi="&amp;quot"/>
                <w:color w:val="333333"/>
                <w:sz w:val="17"/>
                <w:szCs w:val="17"/>
              </w:rPr>
            </w:pPr>
            <w:r>
              <w:rPr>
                <w:rFonts w:ascii="&amp;quot" w:hAnsi="&amp;quot"/>
                <w:color w:val="333333"/>
                <w:sz w:val="17"/>
                <w:szCs w:val="17"/>
              </w:rPr>
              <w:t xml:space="preserve">Treatment </w:t>
            </w:r>
          </w:p>
        </w:tc>
        <w:tc>
          <w:tcPr>
            <w:tcW w:w="1350" w:type="dxa"/>
            <w:gridSpan w:val="2"/>
            <w:vMerge/>
            <w:tcBorders>
              <w:left w:val="single" w:sz="6" w:space="0" w:color="DDDDDD"/>
              <w:right w:val="single" w:sz="6" w:space="0" w:color="DDDDDD"/>
            </w:tcBorders>
            <w:shd w:val="clear" w:color="auto" w:fill="auto"/>
            <w:tcMar>
              <w:top w:w="75" w:type="dxa"/>
              <w:left w:w="75" w:type="dxa"/>
              <w:bottom w:w="75" w:type="dxa"/>
              <w:right w:w="75" w:type="dxa"/>
            </w:tcMar>
            <w:hideMark/>
          </w:tcPr>
          <w:p w14:paraId="37507DB3" w14:textId="77777777" w:rsidR="00F13912" w:rsidRDefault="00F13912" w:rsidP="00F13912">
            <w:pPr>
              <w:spacing w:after="0" w:line="236" w:lineRule="atLeast"/>
              <w:jc w:val="center"/>
              <w:rPr>
                <w:rFonts w:ascii="&amp;quot" w:hAnsi="&amp;quot"/>
                <w:color w:val="333333"/>
                <w:sz w:val="17"/>
                <w:szCs w:val="17"/>
              </w:rPr>
            </w:pPr>
          </w:p>
        </w:tc>
        <w:tc>
          <w:tcPr>
            <w:tcW w:w="153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5F30130"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66,527</w:t>
            </w:r>
          </w:p>
        </w:tc>
        <w:tc>
          <w:tcPr>
            <w:tcW w:w="7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815B03"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8D745B"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31.25%</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CB5A10C"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9.99%</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EF028F8"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24.85%</w:t>
            </w:r>
          </w:p>
        </w:tc>
        <w:tc>
          <w:tcPr>
            <w:tcW w:w="8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E60833E"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22.03%</w:t>
            </w:r>
          </w:p>
        </w:tc>
        <w:tc>
          <w:tcPr>
            <w:tcW w:w="2250" w:type="dxa"/>
            <w:gridSpan w:val="3"/>
            <w:vMerge/>
            <w:tcBorders>
              <w:left w:val="single" w:sz="6" w:space="0" w:color="DDDDDD"/>
              <w:right w:val="single" w:sz="6" w:space="0" w:color="DDDDDD"/>
            </w:tcBorders>
            <w:shd w:val="clear" w:color="auto" w:fill="auto"/>
            <w:tcMar>
              <w:top w:w="75" w:type="dxa"/>
              <w:left w:w="75" w:type="dxa"/>
              <w:bottom w:w="75" w:type="dxa"/>
              <w:right w:w="75" w:type="dxa"/>
            </w:tcMar>
          </w:tcPr>
          <w:p w14:paraId="7797B07F" w14:textId="77777777" w:rsidR="00F13912" w:rsidRDefault="00F13912" w:rsidP="00F13912">
            <w:pPr>
              <w:spacing w:after="0"/>
              <w:jc w:val="center"/>
              <w:rPr>
                <w:rFonts w:ascii="&amp;quot" w:hAnsi="&amp;quot"/>
                <w:color w:val="333333"/>
                <w:sz w:val="17"/>
                <w:szCs w:val="17"/>
              </w:rPr>
            </w:pPr>
          </w:p>
        </w:tc>
      </w:tr>
      <w:tr w:rsidR="00F13912" w14:paraId="754253A1" w14:textId="77777777" w:rsidTr="00F14DA5">
        <w:trPr>
          <w:jc w:val="center"/>
        </w:trPr>
        <w:tc>
          <w:tcPr>
            <w:tcW w:w="1702" w:type="dxa"/>
            <w:tcBorders>
              <w:top w:val="single" w:sz="6" w:space="0" w:color="DDDDDD"/>
              <w:left w:val="single" w:sz="6" w:space="0" w:color="DDDDDD"/>
              <w:bottom w:val="single" w:sz="4" w:space="0" w:color="000000"/>
              <w:right w:val="single" w:sz="6" w:space="0" w:color="DDDDDD"/>
            </w:tcBorders>
            <w:shd w:val="clear" w:color="auto" w:fill="auto"/>
            <w:tcMar>
              <w:top w:w="75" w:type="dxa"/>
              <w:left w:w="330" w:type="dxa"/>
              <w:bottom w:w="75" w:type="dxa"/>
              <w:right w:w="75" w:type="dxa"/>
            </w:tcMar>
          </w:tcPr>
          <w:p w14:paraId="66CB57D2" w14:textId="77777777" w:rsidR="00F13912" w:rsidRDefault="00F13912" w:rsidP="00F13912">
            <w:pPr>
              <w:spacing w:after="0" w:line="236" w:lineRule="atLeast"/>
              <w:rPr>
                <w:rFonts w:ascii="&amp;quot" w:hAnsi="&amp;quot"/>
                <w:color w:val="333333"/>
                <w:sz w:val="17"/>
                <w:szCs w:val="17"/>
              </w:rPr>
            </w:pPr>
            <w:r>
              <w:rPr>
                <w:rFonts w:ascii="&amp;quot" w:hAnsi="&amp;quot"/>
                <w:color w:val="333333"/>
                <w:sz w:val="17"/>
                <w:szCs w:val="17"/>
              </w:rPr>
              <w:t xml:space="preserve">Control: Mass Ave </w:t>
            </w:r>
          </w:p>
        </w:tc>
        <w:tc>
          <w:tcPr>
            <w:tcW w:w="1350" w:type="dxa"/>
            <w:gridSpan w:val="2"/>
            <w:vMerge/>
            <w:tcBorders>
              <w:top w:val="single" w:sz="4" w:space="0" w:color="A6A6A6" w:themeColor="background1" w:themeShade="A6"/>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21F4FEE3" w14:textId="77777777" w:rsidR="00F13912" w:rsidRDefault="00F13912" w:rsidP="00F13912">
            <w:pPr>
              <w:spacing w:after="0" w:line="236" w:lineRule="atLeast"/>
              <w:jc w:val="center"/>
              <w:rPr>
                <w:rFonts w:ascii="&amp;quot" w:hAnsi="&amp;quot"/>
                <w:color w:val="333333"/>
                <w:sz w:val="17"/>
                <w:szCs w:val="17"/>
              </w:rPr>
            </w:pPr>
          </w:p>
        </w:tc>
        <w:tc>
          <w:tcPr>
            <w:tcW w:w="1530" w:type="dxa"/>
            <w:gridSpan w:val="2"/>
            <w:tcBorders>
              <w:top w:val="single" w:sz="4" w:space="0" w:color="A6A6A6" w:themeColor="background1" w:themeShade="A6"/>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4EE31E02"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137,819</w:t>
            </w:r>
          </w:p>
        </w:tc>
        <w:tc>
          <w:tcPr>
            <w:tcW w:w="720" w:type="dxa"/>
            <w:tcBorders>
              <w:top w:val="single" w:sz="4" w:space="0" w:color="A6A6A6" w:themeColor="background1" w:themeShade="A6"/>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7A0320DE"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w:t>
            </w:r>
          </w:p>
        </w:tc>
        <w:tc>
          <w:tcPr>
            <w:tcW w:w="810" w:type="dxa"/>
            <w:tcBorders>
              <w:top w:val="single" w:sz="4" w:space="0" w:color="A6A6A6" w:themeColor="background1" w:themeShade="A6"/>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6510E54C"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-15.68%</w:t>
            </w:r>
          </w:p>
        </w:tc>
        <w:tc>
          <w:tcPr>
            <w:tcW w:w="900" w:type="dxa"/>
            <w:tcBorders>
              <w:top w:val="single" w:sz="4" w:space="0" w:color="A6A6A6" w:themeColor="background1" w:themeShade="A6"/>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5439902A"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-31.19%</w:t>
            </w:r>
          </w:p>
        </w:tc>
        <w:tc>
          <w:tcPr>
            <w:tcW w:w="810" w:type="dxa"/>
            <w:tcBorders>
              <w:top w:val="single" w:sz="4" w:space="0" w:color="A6A6A6" w:themeColor="background1" w:themeShade="A6"/>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3F5C8941"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50.81%</w:t>
            </w:r>
          </w:p>
        </w:tc>
        <w:tc>
          <w:tcPr>
            <w:tcW w:w="810" w:type="dxa"/>
            <w:tcBorders>
              <w:top w:val="single" w:sz="4" w:space="0" w:color="A6A6A6" w:themeColor="background1" w:themeShade="A6"/>
              <w:left w:val="single" w:sz="6" w:space="0" w:color="DDDDDD"/>
              <w:bottom w:val="single" w:sz="4" w:space="0" w:color="000000"/>
              <w:right w:val="single" w:sz="6" w:space="0" w:color="DDDDDD"/>
            </w:tcBorders>
            <w:shd w:val="clear" w:color="auto" w:fill="auto"/>
            <w:tcMar>
              <w:top w:w="75" w:type="dxa"/>
              <w:left w:w="75" w:type="dxa"/>
              <w:bottom w:w="75" w:type="dxa"/>
              <w:right w:w="75" w:type="dxa"/>
            </w:tcMar>
          </w:tcPr>
          <w:p w14:paraId="5C0A4EF7" w14:textId="77777777" w:rsidR="00F13912" w:rsidRDefault="00F13912" w:rsidP="00F13912">
            <w:pPr>
              <w:spacing w:after="0" w:line="236" w:lineRule="atLeast"/>
              <w:jc w:val="center"/>
              <w:rPr>
                <w:rFonts w:ascii="&amp;quot" w:hAnsi="&amp;quot"/>
                <w:color w:val="333333"/>
                <w:sz w:val="17"/>
                <w:szCs w:val="17"/>
              </w:rPr>
            </w:pPr>
            <w:r>
              <w:rPr>
                <w:rFonts w:ascii="&amp;quot" w:hAnsi="&amp;quot"/>
                <w:color w:val="333333"/>
                <w:sz w:val="17"/>
                <w:szCs w:val="17"/>
              </w:rPr>
              <w:t>1.32%</w:t>
            </w:r>
          </w:p>
        </w:tc>
        <w:tc>
          <w:tcPr>
            <w:tcW w:w="2250" w:type="dxa"/>
            <w:gridSpan w:val="3"/>
            <w:vMerge/>
            <w:tcBorders>
              <w:left w:val="single" w:sz="6" w:space="0" w:color="DDDDDD"/>
              <w:right w:val="single" w:sz="6" w:space="0" w:color="DDDDDD"/>
            </w:tcBorders>
            <w:shd w:val="clear" w:color="auto" w:fill="auto"/>
            <w:tcMar>
              <w:top w:w="75" w:type="dxa"/>
              <w:left w:w="75" w:type="dxa"/>
              <w:bottom w:w="75" w:type="dxa"/>
              <w:right w:w="75" w:type="dxa"/>
            </w:tcMar>
          </w:tcPr>
          <w:p w14:paraId="12843718" w14:textId="77777777" w:rsidR="00F13912" w:rsidRDefault="00F13912" w:rsidP="00F13912">
            <w:pPr>
              <w:spacing w:after="0"/>
              <w:jc w:val="center"/>
              <w:rPr>
                <w:rFonts w:ascii="&amp;quot" w:hAnsi="&amp;quot"/>
                <w:color w:val="333333"/>
                <w:sz w:val="17"/>
                <w:szCs w:val="17"/>
              </w:rPr>
            </w:pPr>
          </w:p>
        </w:tc>
      </w:tr>
      <w:tr w:rsidR="00F13912" w14:paraId="01A133ED" w14:textId="77777777" w:rsidTr="00F14DA5">
        <w:trPr>
          <w:jc w:val="center"/>
        </w:trPr>
        <w:tc>
          <w:tcPr>
            <w:tcW w:w="10882" w:type="dxa"/>
            <w:gridSpan w:val="13"/>
            <w:tcBorders>
              <w:top w:val="single" w:sz="4" w:space="0" w:color="000000"/>
              <w:left w:val="nil"/>
              <w:bottom w:val="nil"/>
              <w:right w:val="nil"/>
            </w:tcBorders>
            <w:shd w:val="clear" w:color="auto" w:fill="auto"/>
            <w:tcMar>
              <w:top w:w="0" w:type="dxa"/>
              <w:left w:w="0" w:type="dxa"/>
              <w:bottom w:w="0" w:type="dxa"/>
              <w:right w:w="0" w:type="dxa"/>
            </w:tcMar>
            <w:hideMark/>
          </w:tcPr>
          <w:p w14:paraId="0C8F455F" w14:textId="77777777" w:rsidR="00F13912" w:rsidRPr="00F13912" w:rsidRDefault="00F13912" w:rsidP="00F14DA5">
            <w:pPr>
              <w:spacing w:after="0"/>
              <w:rPr>
                <w:sz w:val="16"/>
                <w:szCs w:val="18"/>
              </w:rPr>
            </w:pPr>
            <w:r w:rsidRPr="00F13912">
              <w:rPr>
                <w:sz w:val="16"/>
                <w:szCs w:val="18"/>
              </w:rPr>
              <w:t xml:space="preserve">The baseline is defined as the average of the three years prior to the construction year; </w:t>
            </w:r>
          </w:p>
          <w:p w14:paraId="6F6506FB" w14:textId="77777777" w:rsidR="00F13912" w:rsidRPr="00F13912" w:rsidRDefault="00F13912" w:rsidP="00F14DA5">
            <w:pPr>
              <w:spacing w:after="0"/>
              <w:rPr>
                <w:sz w:val="16"/>
                <w:szCs w:val="18"/>
              </w:rPr>
            </w:pPr>
            <w:r w:rsidRPr="00F13912">
              <w:rPr>
                <w:sz w:val="16"/>
                <w:szCs w:val="18"/>
              </w:rPr>
              <w:t>The pre-growth rate is defined as the average of the baseline annual growth rates;</w:t>
            </w:r>
          </w:p>
          <w:p w14:paraId="11C9B13D" w14:textId="77777777" w:rsidR="00F13912" w:rsidRDefault="00F13912" w:rsidP="00F14DA5">
            <w:pPr>
              <w:spacing w:after="0"/>
            </w:pPr>
            <w:r w:rsidRPr="00F13912">
              <w:rPr>
                <w:sz w:val="16"/>
                <w:szCs w:val="18"/>
              </w:rPr>
              <w:t>The post-growth rate is defined as the average annual growth rate of three time points after the construction year.</w:t>
            </w:r>
          </w:p>
        </w:tc>
      </w:tr>
    </w:tbl>
    <w:p w14:paraId="2051B882" w14:textId="39D192AC" w:rsidR="00F13912" w:rsidRDefault="00DF7C53" w:rsidP="007764ED">
      <w:pPr>
        <w:pStyle w:val="BodyText"/>
      </w:pPr>
      <w:r>
        <w:t>The table above summarizes the detailed percentage changes of retail and food service economic indicators across three different data sources.</w:t>
      </w:r>
      <w:r w:rsidR="007764ED">
        <w:t xml:space="preserve">  While growth in retail employment and sales revenue was observed in the years following the construction of the separated bike lane on Massachusetts Avenue, we are unable to calculate pre- and post-construction growth rates due to zero retail employment in some of the years.</w:t>
      </w:r>
      <w:r w:rsidR="007764ED" w:rsidRPr="007764ED">
        <w:t xml:space="preserve"> </w:t>
      </w:r>
      <w:r w:rsidR="007764ED" w:rsidRPr="006A4D17">
        <w:t xml:space="preserve">In </w:t>
      </w:r>
      <w:r w:rsidR="007764ED">
        <w:t xml:space="preserve">the </w:t>
      </w:r>
      <w:r w:rsidR="007764ED" w:rsidRPr="006A4D17">
        <w:t>food service</w:t>
      </w:r>
      <w:r w:rsidR="007764ED">
        <w:t>s</w:t>
      </w:r>
      <w:r w:rsidR="007764ED" w:rsidRPr="006A4D17">
        <w:t xml:space="preserve"> sector, </w:t>
      </w:r>
      <w:r w:rsidR="007764ED">
        <w:t>both the improved corridor of Massachusetts Avenue and the control corridor show similar increasing employment trends.</w:t>
      </w:r>
    </w:p>
    <w:p w14:paraId="7A20098C" w14:textId="075C47C2" w:rsidR="00A61086" w:rsidRDefault="00AD0899">
      <w:pPr>
        <w:pStyle w:val="Heading3"/>
      </w:pPr>
      <w:bookmarkStart w:id="35" w:name="difference-in-difference-2"/>
      <w:bookmarkEnd w:id="35"/>
      <w:r>
        <w:t>DID Analysis</w:t>
      </w:r>
    </w:p>
    <w:p w14:paraId="25BB7E0C" w14:textId="17CD4301" w:rsidR="00DF7C53" w:rsidRDefault="00DF7C53" w:rsidP="00DF7C53">
      <w:pPr>
        <w:pStyle w:val="FirstParagraph"/>
      </w:pPr>
      <w:bookmarkStart w:id="36" w:name="interrupted-time-series-2"/>
      <w:bookmarkEnd w:id="36"/>
      <w:r>
        <w:t xml:space="preserve">We did not perform a DID estimation for </w:t>
      </w:r>
      <w:r w:rsidR="002B4B56">
        <w:t>Massachusetts</w:t>
      </w:r>
      <w:r>
        <w:t xml:space="preserve"> Avenue, as the corridor comparison process showed that the corridor group </w:t>
      </w:r>
      <w:r w:rsidR="00CF7F32">
        <w:t>is</w:t>
      </w:r>
      <w:r>
        <w:t xml:space="preserve"> unsuitable for this type of analysis.  </w:t>
      </w:r>
    </w:p>
    <w:p w14:paraId="4265A83C" w14:textId="1A713C64" w:rsidR="00A61086" w:rsidRDefault="00AD0899">
      <w:pPr>
        <w:pStyle w:val="Heading3"/>
      </w:pPr>
      <w:r>
        <w:t>ITS Analysis</w:t>
      </w:r>
    </w:p>
    <w:p w14:paraId="2E8B9355" w14:textId="41D8CEEC" w:rsidR="00A61086" w:rsidRDefault="00A07EC4" w:rsidP="00DF7C53">
      <w:pPr>
        <w:pStyle w:val="FirstParagraph"/>
      </w:pPr>
      <w:bookmarkStart w:id="37" w:name="lehd-3"/>
      <w:bookmarkEnd w:id="37"/>
      <w:r>
        <w:t xml:space="preserve">ITS analysis of the </w:t>
      </w:r>
      <w:r w:rsidR="00DF7C53">
        <w:t xml:space="preserve">LEHD </w:t>
      </w:r>
      <w:r>
        <w:t xml:space="preserve">data </w:t>
      </w:r>
      <w:r w:rsidR="00DF7C53">
        <w:t>indicates</w:t>
      </w:r>
      <w:r w:rsidR="00FF17C4">
        <w:t xml:space="preserve"> Massachusetts Ave</w:t>
      </w:r>
      <w:r w:rsidR="00A43D13">
        <w:t>nue</w:t>
      </w:r>
      <w:r w:rsidR="00FF17C4">
        <w:t xml:space="preserve"> corridor </w:t>
      </w:r>
      <w:r w:rsidR="00DF7C53">
        <w:t>has a significant negative</w:t>
      </w:r>
      <w:r w:rsidR="00FF17C4">
        <w:t xml:space="preserve"> </w:t>
      </w:r>
      <w:proofErr w:type="spellStart"/>
      <w:r w:rsidR="00FF17C4" w:rsidRPr="00DF7C53">
        <w:rPr>
          <w:b/>
          <w:i/>
        </w:rPr>
        <w:t>pre_post</w:t>
      </w:r>
      <w:proofErr w:type="spellEnd"/>
      <w:r w:rsidR="00DF7C53">
        <w:t xml:space="preserve"> coefficient for</w:t>
      </w:r>
      <w:r w:rsidR="00FF17C4">
        <w:t xml:space="preserve"> </w:t>
      </w:r>
      <w:r w:rsidR="00A43D13">
        <w:t xml:space="preserve">food </w:t>
      </w:r>
      <w:r w:rsidR="00DF7C53">
        <w:t xml:space="preserve">employment and a significant positive </w:t>
      </w:r>
      <w:proofErr w:type="spellStart"/>
      <w:r w:rsidR="00DF7C53" w:rsidRPr="00DF7C53">
        <w:rPr>
          <w:b/>
          <w:i/>
        </w:rPr>
        <w:t>ts_year:pre_post</w:t>
      </w:r>
      <w:proofErr w:type="spellEnd"/>
      <w:r w:rsidR="00DF7C53">
        <w:t xml:space="preserve"> term</w:t>
      </w:r>
      <w:r w:rsidR="00FF17C4">
        <w:t>. This means there was a sharp loss in jobs at the construction point in time</w:t>
      </w:r>
      <w:r w:rsidR="00DF7C53">
        <w:t>, but with</w:t>
      </w:r>
      <w:r w:rsidR="00FF17C4">
        <w:t xml:space="preserve"> </w:t>
      </w:r>
      <w:r w:rsidR="00DF7C53">
        <w:t xml:space="preserve">greater </w:t>
      </w:r>
      <w:r w:rsidR="00FF17C4">
        <w:t xml:space="preserve">growth in employment </w:t>
      </w:r>
      <w:r w:rsidR="00DF7C53">
        <w:t xml:space="preserve">after the street improvement </w:t>
      </w:r>
      <w:r w:rsidR="00FF17C4">
        <w:t xml:space="preserve">construction than </w:t>
      </w:r>
      <w:r w:rsidR="00F01CB9">
        <w:t>the period prior to construction</w:t>
      </w:r>
      <w:r w:rsidR="00FF17C4">
        <w:t xml:space="preserve">. </w:t>
      </w:r>
      <w:r w:rsidR="00801DEC">
        <w:t xml:space="preserve">However, the year of construction (2009) coincides with the recessionary period, and may confound some of these results. </w:t>
      </w:r>
      <w:r w:rsidR="00FF17C4">
        <w:t xml:space="preserve">This means that while construction </w:t>
      </w:r>
      <w:r w:rsidR="00801DEC">
        <w:t xml:space="preserve">or the recession </w:t>
      </w:r>
      <w:r w:rsidR="00FF17C4">
        <w:t>may have temporarily resulted in employment loss (due to establishments closing during construction or releasing workers due to lower sales during construction)</w:t>
      </w:r>
      <w:r w:rsidR="00487301">
        <w:t>,</w:t>
      </w:r>
      <w:r w:rsidR="00FF17C4">
        <w:t xml:space="preserve"> the corridors are now growing at a healthier rate than before.</w:t>
      </w:r>
      <w:r w:rsidR="00DF7C53">
        <w:t xml:space="preserve"> </w:t>
      </w:r>
      <w:r w:rsidR="00FF17C4">
        <w:t xml:space="preserve">This is a mixed result, but considering the construction of the corridor was still during the Great Recession, the fact that there </w:t>
      </w:r>
      <w:r w:rsidR="00487301">
        <w:t>is</w:t>
      </w:r>
      <w:r w:rsidR="00FF17C4">
        <w:t xml:space="preserve"> still robust growth five years after </w:t>
      </w:r>
      <w:r w:rsidR="00487301">
        <w:t xml:space="preserve">the street improvement </w:t>
      </w:r>
      <w:r w:rsidR="00FF17C4">
        <w:t xml:space="preserve">suggests that overall economic conditions have improved and that the construction of the lane may have had a positive </w:t>
      </w:r>
      <w:r w:rsidR="00EB58C1">
        <w:t xml:space="preserve">contributions to </w:t>
      </w:r>
      <w:r w:rsidR="00FF17C4">
        <w:t>this new growth trajectory.</w:t>
      </w:r>
    </w:p>
    <w:p w14:paraId="041A4A6A" w14:textId="6B6EC709" w:rsidR="00A61086" w:rsidRDefault="00FF17C4">
      <w:pPr>
        <w:pStyle w:val="FirstParagraph"/>
      </w:pPr>
      <w:bookmarkStart w:id="38" w:name="sales-tax-4"/>
      <w:bookmarkEnd w:id="38"/>
      <w:r>
        <w:t xml:space="preserve">In terms of </w:t>
      </w:r>
      <w:r w:rsidR="009412D6">
        <w:t xml:space="preserve">the ITS model of </w:t>
      </w:r>
      <w:r>
        <w:t xml:space="preserve">sales tax </w:t>
      </w:r>
      <w:r w:rsidR="009412D6">
        <w:t>receipts</w:t>
      </w:r>
      <w:r>
        <w:t xml:space="preserve">, the </w:t>
      </w:r>
      <w:proofErr w:type="spellStart"/>
      <w:r w:rsidRPr="00DF7C53">
        <w:rPr>
          <w:b/>
          <w:i/>
        </w:rPr>
        <w:t>pre_post</w:t>
      </w:r>
      <w:proofErr w:type="spellEnd"/>
      <w:r>
        <w:t xml:space="preserve"> term is negative and significant signaling a change in level of sales tax receipts due to the intervention</w:t>
      </w:r>
      <w:r w:rsidR="00531931">
        <w:t>,</w:t>
      </w:r>
      <w:r>
        <w:t xml:space="preserve"> but the </w:t>
      </w:r>
      <w:proofErr w:type="spellStart"/>
      <w:r w:rsidR="00DF7C53" w:rsidRPr="00DF7C53">
        <w:rPr>
          <w:b/>
          <w:i/>
        </w:rPr>
        <w:t>ts_year:pre_post</w:t>
      </w:r>
      <w:proofErr w:type="spellEnd"/>
      <w:r w:rsidR="00DF7C53">
        <w:t xml:space="preserve"> </w:t>
      </w:r>
      <w:r>
        <w:t xml:space="preserve">interaction term is non-significant. The lack of a significant interaction term means that we cannot attribute change in the growth of sales tax on Massachusetts </w:t>
      </w:r>
      <w:r w:rsidR="00A43D13">
        <w:t xml:space="preserve">Avenue </w:t>
      </w:r>
      <w:r>
        <w:t>to the placement of new cycling infrastructure. It should be noted, though, that this sales tax data starts in 2008 so we do not necessarily have enough pre-intervention data points to make a strong statement either way using this technique. That being said, given our model specification, the ITS model does not signal a causal relationship between the change in sales tax receipts and new cycling infrastructure.</w:t>
      </w:r>
    </w:p>
    <w:p w14:paraId="7FA587B7" w14:textId="5229E0D7" w:rsidR="008F6FE3" w:rsidRDefault="00413A6D" w:rsidP="008F6FE3">
      <w:pPr>
        <w:pStyle w:val="Heading3"/>
      </w:pPr>
      <w:r>
        <w:lastRenderedPageBreak/>
        <w:t>Key Results</w:t>
      </w:r>
    </w:p>
    <w:p w14:paraId="3E1322FB" w14:textId="77777777" w:rsidR="008A0466" w:rsidRDefault="008A0466" w:rsidP="008A0466">
      <w:pPr>
        <w:pStyle w:val="ListParagraph"/>
        <w:numPr>
          <w:ilvl w:val="0"/>
          <w:numId w:val="32"/>
        </w:numPr>
        <w:spacing w:line="240" w:lineRule="auto"/>
        <w:rPr>
          <w:sz w:val="24"/>
        </w:rPr>
      </w:pPr>
      <w:r w:rsidRPr="008F6FE3">
        <w:rPr>
          <w:sz w:val="24"/>
        </w:rPr>
        <w:t>In the food services sector, both the improved corridor of Massachusetts Avenue and the control corridor show similar increasing employment trends. The growth on Massachusetts Avenue significantly outpaced food services employment growth in the city as a whole following bike lane installation in 2009. In addition, this growth is confirmed by the positive significant impact on employment growth using the ITS approach.</w:t>
      </w:r>
    </w:p>
    <w:p w14:paraId="0C547510" w14:textId="77777777" w:rsidR="008F6FE3" w:rsidRPr="008F6FE3" w:rsidRDefault="008F6FE3" w:rsidP="008F6FE3">
      <w:pPr>
        <w:pStyle w:val="ListParagraph"/>
        <w:numPr>
          <w:ilvl w:val="0"/>
          <w:numId w:val="32"/>
        </w:numPr>
        <w:spacing w:line="240" w:lineRule="auto"/>
        <w:rPr>
          <w:sz w:val="24"/>
        </w:rPr>
      </w:pPr>
      <w:r w:rsidRPr="008F6FE3">
        <w:rPr>
          <w:sz w:val="24"/>
        </w:rPr>
        <w:t>While growth in retail employment and sales revenue was observed in the years following the construction of the separated bike lane on Massachusetts Avenue, we are unable to calculate pre- and post-construction growth rates due to zero retail employment in some of the years. However, the DID and ITS approaches both indicate that the bike lane installation did not significantly impact retail employment, either positively or negatively, along this corridor.</w:t>
      </w:r>
    </w:p>
    <w:p w14:paraId="1DE99925" w14:textId="739C9095" w:rsidR="008A0466" w:rsidRPr="008A0466" w:rsidRDefault="008A0466" w:rsidP="008A0466">
      <w:pPr>
        <w:pStyle w:val="ListParagraph"/>
        <w:numPr>
          <w:ilvl w:val="0"/>
          <w:numId w:val="32"/>
        </w:numPr>
        <w:spacing w:line="240" w:lineRule="auto"/>
        <w:rPr>
          <w:sz w:val="24"/>
        </w:rPr>
      </w:pPr>
      <w:r w:rsidRPr="008A0466">
        <w:rPr>
          <w:sz w:val="24"/>
        </w:rPr>
        <w:t>In conclusion, on Massachusetts Avenue, we found a significant positive impact on food services employment following its separated bike lane construction, indicating an improvement in business vitality.</w:t>
      </w:r>
    </w:p>
    <w:p w14:paraId="03733E1B" w14:textId="77777777" w:rsidR="00F14DA5" w:rsidRDefault="00F14DA5">
      <w:pPr>
        <w:rPr>
          <w:rFonts w:asciiTheme="majorHAnsi" w:eastAsiaTheme="majorEastAsia" w:hAnsiTheme="majorHAnsi" w:cstheme="majorBidi"/>
          <w:b/>
          <w:bCs/>
          <w:color w:val="345A8A" w:themeColor="accent1" w:themeShade="B5"/>
          <w:sz w:val="32"/>
          <w:szCs w:val="32"/>
        </w:rPr>
      </w:pPr>
      <w:bookmarkStart w:id="39" w:name="conclusion"/>
      <w:bookmarkEnd w:id="39"/>
      <w:r>
        <w:br w:type="page"/>
      </w:r>
    </w:p>
    <w:p w14:paraId="772252EB" w14:textId="77777777" w:rsidR="00A61086" w:rsidRDefault="00FF17C4">
      <w:pPr>
        <w:pStyle w:val="Heading1"/>
      </w:pPr>
      <w:r>
        <w:lastRenderedPageBreak/>
        <w:t>Conclusion</w:t>
      </w:r>
    </w:p>
    <w:p w14:paraId="7AD3FBA7" w14:textId="77777777" w:rsidR="00F41A69" w:rsidRDefault="00F41A69" w:rsidP="00F41A69">
      <w:r w:rsidRPr="002659DB">
        <w:t>Ba</w:t>
      </w:r>
      <w:r>
        <w:t>s</w:t>
      </w:r>
      <w:r w:rsidRPr="002659DB">
        <w:t>ed</w:t>
      </w:r>
      <w:r>
        <w:t xml:space="preserve"> on our analysis of the two street improvement corridors in Indianapolis, we found street improvement projects either improve, or had insignificant impacts on, economic outcomes. In particular, we can conclude that:</w:t>
      </w:r>
    </w:p>
    <w:p w14:paraId="316A204B" w14:textId="0602EFD2" w:rsidR="00F41A69" w:rsidRPr="00F41A69" w:rsidRDefault="00F41A69" w:rsidP="00F41A69">
      <w:pPr>
        <w:pStyle w:val="ListParagraph"/>
        <w:numPr>
          <w:ilvl w:val="0"/>
          <w:numId w:val="31"/>
        </w:numPr>
        <w:spacing w:line="240" w:lineRule="auto"/>
        <w:rPr>
          <w:sz w:val="24"/>
        </w:rPr>
      </w:pPr>
      <w:r w:rsidRPr="00F41A69">
        <w:rPr>
          <w:sz w:val="24"/>
        </w:rPr>
        <w:t xml:space="preserve">Along </w:t>
      </w:r>
      <w:r w:rsidR="00531931" w:rsidRPr="00F41A69">
        <w:rPr>
          <w:sz w:val="24"/>
        </w:rPr>
        <w:t>Virginia</w:t>
      </w:r>
      <w:r w:rsidRPr="00F41A69">
        <w:rPr>
          <w:sz w:val="24"/>
        </w:rPr>
        <w:t xml:space="preserve"> Avenue, the more rigorous DID and ITS approaches indicate that the bike lane installation did not significantly impact retail employment, either positively or negatively. However, the corridor shows substantial growth in all food service industry metrics - employment, sales and wages - after bike lane installation. Both DID and ITS models indicate positive causal effects on food service businesses. These positive impacts are supported consistently across all analysis results using all data sources.</w:t>
      </w:r>
    </w:p>
    <w:p w14:paraId="4F65A301" w14:textId="77777777" w:rsidR="00F41A69" w:rsidRPr="00F41A69" w:rsidRDefault="00F41A69" w:rsidP="00F41A69">
      <w:pPr>
        <w:pStyle w:val="ListParagraph"/>
        <w:numPr>
          <w:ilvl w:val="0"/>
          <w:numId w:val="31"/>
        </w:numPr>
        <w:spacing w:line="240" w:lineRule="auto"/>
        <w:rPr>
          <w:sz w:val="24"/>
        </w:rPr>
      </w:pPr>
      <w:r w:rsidRPr="00F41A69">
        <w:rPr>
          <w:sz w:val="24"/>
        </w:rPr>
        <w:t>On the improved corridor of Massachusetts Avenue, food services employment growth significantly outpaced growth in Indianapolis as a whole following bike lane installation in 2009. In addition, this is confirmed by the positive significant impact on employment growth using the more rigorous ITS approach.</w:t>
      </w:r>
    </w:p>
    <w:p w14:paraId="092B3B54" w14:textId="77777777" w:rsidR="00F41A69" w:rsidRPr="00D12BF7" w:rsidRDefault="00F41A69" w:rsidP="00F41A69">
      <w:r>
        <w:t>In terms of retail service sector</w:t>
      </w:r>
      <w:r w:rsidRPr="00D12BF7">
        <w:t xml:space="preserve">, we found either mixed results or insignificant results. </w:t>
      </w:r>
      <w:r>
        <w:t xml:space="preserve">This is typically due to either insufficient number of data points before or after the completion of the street improvement (for ITS analysis), </w:t>
      </w:r>
      <w:r w:rsidRPr="00D12BF7">
        <w:t xml:space="preserve">or </w:t>
      </w:r>
      <w:r>
        <w:t xml:space="preserve">control corridors that may not be fully comparable </w:t>
      </w:r>
      <w:r w:rsidRPr="00D12BF7">
        <w:t xml:space="preserve">(for DID analysis). However, the insignificant results </w:t>
      </w:r>
      <w:r>
        <w:t xml:space="preserve">may be significant in this context, indicating that there does not appear to be a negative causal impact of right-of-way or parking lane removal on economic outcomes. </w:t>
      </w:r>
    </w:p>
    <w:p w14:paraId="5A8FB073" w14:textId="77777777" w:rsidR="00F41A69" w:rsidRDefault="00F41A69" w:rsidP="00F41A69">
      <w:r>
        <w:t xml:space="preserve">Three data sources were used for this analysis, each with its pros and cons. The analysis results using the three data sources should be viewed as complementary to each other. LEHD data is comprehensive, easy to access, and provides rough trends of employment change at small geographical scales. It allows for comparisons between the street improvement corridors with overall city economic trends, and for both treatment and control corridor selection without obtaining additional data. Once street improvement corridor selection is completed, sales tax data (sales revenue) and QCEW data (employment and wages) can provide finer grain economic </w:t>
      </w:r>
      <w:r w:rsidRPr="00865A1F">
        <w:t>activity</w:t>
      </w:r>
      <w:r>
        <w:t xml:space="preserve"> details. In Indianapolis, sales tax data may only capture parts of economic activities that are subject to sales tax, because sales of unprepared food and healthcare are tax exempt; and aggregated QCEW data for Indianapolis only identifies the food and drinking places sector (excluding retail service industries).  </w:t>
      </w:r>
    </w:p>
    <w:p w14:paraId="557108B0" w14:textId="77777777" w:rsidR="00F41A69" w:rsidRPr="00BC5A76" w:rsidRDefault="00F41A69" w:rsidP="00F41A69">
      <w:r w:rsidRPr="00BC5A76">
        <w:t xml:space="preserve">We </w:t>
      </w:r>
      <w:r>
        <w:t>employed</w:t>
      </w:r>
      <w:r w:rsidRPr="00BC5A76">
        <w:t xml:space="preserve"> three different </w:t>
      </w:r>
      <w:r>
        <w:t xml:space="preserve">analytical </w:t>
      </w:r>
      <w:r w:rsidRPr="00BC5A76">
        <w:t>approaches to investigate the economic impact</w:t>
      </w:r>
      <w:r>
        <w:t>s</w:t>
      </w:r>
      <w:r w:rsidRPr="00BC5A76">
        <w:t xml:space="preserve"> of street improvement</w:t>
      </w:r>
      <w:r>
        <w:t xml:space="preserve"> corridors</w:t>
      </w:r>
      <w:r w:rsidRPr="00BC5A76">
        <w:t xml:space="preserve">. Aggregated trend analysis and difference-in-difference </w:t>
      </w:r>
      <w:r>
        <w:t xml:space="preserve">(DID) </w:t>
      </w:r>
      <w:r w:rsidRPr="00BC5A76">
        <w:t xml:space="preserve">analysis both utilize control corridors to </w:t>
      </w:r>
      <w:r>
        <w:t>determine</w:t>
      </w:r>
      <w:r w:rsidRPr="00BC5A76">
        <w:t xml:space="preserve"> the impacts of </w:t>
      </w:r>
      <w:r>
        <w:t xml:space="preserve">the street improvement </w:t>
      </w:r>
      <w:r w:rsidRPr="00BC5A76">
        <w:t xml:space="preserve">corridor, while </w:t>
      </w:r>
      <w:r>
        <w:t xml:space="preserve">the </w:t>
      </w:r>
      <w:r w:rsidRPr="00BC5A76">
        <w:t xml:space="preserve">interrupted time series </w:t>
      </w:r>
      <w:r>
        <w:t xml:space="preserve">(ITS) analysis </w:t>
      </w:r>
      <w:r w:rsidRPr="00BC5A76">
        <w:t>use</w:t>
      </w:r>
      <w:r>
        <w:t>s</w:t>
      </w:r>
      <w:r w:rsidRPr="00BC5A76">
        <w:t xml:space="preserve"> multiple time points </w:t>
      </w:r>
      <w:r>
        <w:t xml:space="preserve">on </w:t>
      </w:r>
      <w:r w:rsidRPr="00BC5A76">
        <w:t xml:space="preserve">the </w:t>
      </w:r>
      <w:r>
        <w:t xml:space="preserve">street improvement </w:t>
      </w:r>
      <w:r w:rsidRPr="00BC5A76">
        <w:t>corridor itself</w:t>
      </w:r>
      <w:r>
        <w:t xml:space="preserve"> to pinpoint economic outcomes</w:t>
      </w:r>
      <w:r w:rsidRPr="00BC5A76">
        <w:t xml:space="preserve">. In general, </w:t>
      </w:r>
      <w:r>
        <w:t>the ITS</w:t>
      </w:r>
      <w:r w:rsidRPr="00BC5A76">
        <w:t xml:space="preserve"> analysis provides more robust results than the other two methods, since </w:t>
      </w:r>
      <w:r>
        <w:t>it is</w:t>
      </w:r>
      <w:r w:rsidRPr="00BC5A76">
        <w:t xml:space="preserve"> less likely to be affected by the selection of control corridors. However, this method generally requires more data points post-intervention to achieve meaningful and valid impact estimations. </w:t>
      </w:r>
      <w:r>
        <w:t xml:space="preserve">The DID approach is heavily dependent on finding comparable control </w:t>
      </w:r>
      <w:r>
        <w:lastRenderedPageBreak/>
        <w:t>corridors (which may not always exist), so the analytical results may be weakened when appropriate corridors cannot be identified.</w:t>
      </w:r>
    </w:p>
    <w:p w14:paraId="6C672AC4" w14:textId="77777777" w:rsidR="00F41A69" w:rsidRDefault="00F41A69" w:rsidP="00F41A69">
      <w:r>
        <w:t>Additional data points after the completion of street improvements may help to provide further validity and rigor to the analysis of resulting economic outcomes. Moreover, further contextual information about the street improvement corridor, such as quality or level of the improvement, number of parking spot reduction, and subsequent bicycle ridership or pedestrian increases, would help to better understand the linkages between the improvements and potential economic impacts. Extending this research to more closely examine the changes and shifts in industrial patterns will be valuable as well.</w:t>
      </w:r>
    </w:p>
    <w:p w14:paraId="746F9600" w14:textId="77777777" w:rsidR="00404744" w:rsidRDefault="00404744"/>
    <w:p w14:paraId="0FC75514" w14:textId="77777777" w:rsidR="00404744" w:rsidRDefault="00404744"/>
    <w:p w14:paraId="3CED6D4C" w14:textId="77777777" w:rsidR="00404744" w:rsidRDefault="00404744"/>
    <w:p w14:paraId="00CC3536" w14:textId="77777777" w:rsidR="00404744" w:rsidRDefault="00404744"/>
    <w:p w14:paraId="736DE676" w14:textId="77777777" w:rsidR="00404744" w:rsidRDefault="00404744"/>
    <w:p w14:paraId="60DDC20B" w14:textId="77777777" w:rsidR="00404744" w:rsidRDefault="00404744"/>
    <w:p w14:paraId="1BADAC64" w14:textId="77777777" w:rsidR="00404744" w:rsidRDefault="00404744"/>
    <w:p w14:paraId="57896FA3" w14:textId="77777777" w:rsidR="00404744" w:rsidRDefault="00404744"/>
    <w:p w14:paraId="038E964C" w14:textId="77777777" w:rsidR="00404744" w:rsidRDefault="00404744"/>
    <w:p w14:paraId="7DB8D802" w14:textId="77777777" w:rsidR="00404744" w:rsidRDefault="00404744"/>
    <w:p w14:paraId="3E25ED5D" w14:textId="77777777" w:rsidR="00404744" w:rsidRDefault="00404744"/>
    <w:p w14:paraId="0B59529B" w14:textId="77777777" w:rsidR="00404744" w:rsidRDefault="00404744"/>
    <w:p w14:paraId="52E6A4A7" w14:textId="77777777" w:rsidR="00404744" w:rsidRDefault="00404744"/>
    <w:p w14:paraId="4FB54343" w14:textId="77777777" w:rsidR="00404744" w:rsidRDefault="00404744"/>
    <w:p w14:paraId="3E699559" w14:textId="77777777" w:rsidR="00404744" w:rsidRDefault="00404744"/>
    <w:p w14:paraId="73BAEC61" w14:textId="77777777" w:rsidR="00404744" w:rsidRDefault="00404744"/>
    <w:p w14:paraId="7CAD4F35" w14:textId="77777777" w:rsidR="00404744" w:rsidRDefault="00404744"/>
    <w:p w14:paraId="1EC31FE6" w14:textId="77777777" w:rsidR="00404744" w:rsidRDefault="00404744">
      <w:bookmarkStart w:id="40" w:name="_GoBack"/>
      <w:bookmarkEnd w:id="40"/>
    </w:p>
    <w:p w14:paraId="4CE09172" w14:textId="5A2D4169" w:rsidR="00F14DA5" w:rsidRPr="00404744" w:rsidRDefault="00404744" w:rsidP="00404744">
      <w:pPr>
        <w:jc w:val="center"/>
        <w:rPr>
          <w:b/>
          <w:sz w:val="28"/>
          <w:szCs w:val="28"/>
        </w:rPr>
      </w:pPr>
      <w:r w:rsidRPr="00404744">
        <w:rPr>
          <w:b/>
          <w:sz w:val="28"/>
          <w:szCs w:val="28"/>
        </w:rPr>
        <w:t xml:space="preserve">Special thanks to Indianapolis Cultural Trail, Inc. for the valuable assistance that made this study possible. </w:t>
      </w:r>
      <w:r w:rsidR="00F14DA5" w:rsidRPr="00404744">
        <w:rPr>
          <w:b/>
          <w:sz w:val="28"/>
          <w:szCs w:val="28"/>
        </w:rPr>
        <w:br w:type="page"/>
      </w:r>
    </w:p>
    <w:p w14:paraId="56312515" w14:textId="36688945" w:rsidR="00404744" w:rsidRDefault="00404744">
      <w:pPr>
        <w:rPr>
          <w:rFonts w:asciiTheme="majorHAnsi" w:eastAsiaTheme="majorEastAsia" w:hAnsiTheme="majorHAnsi" w:cstheme="majorBidi"/>
          <w:b/>
          <w:bCs/>
          <w:color w:val="345A8A" w:themeColor="accent1" w:themeShade="B5"/>
          <w:sz w:val="32"/>
          <w:szCs w:val="32"/>
        </w:rPr>
      </w:pPr>
    </w:p>
    <w:p w14:paraId="6366F275" w14:textId="7F705CE6" w:rsidR="00404744" w:rsidRDefault="00404744">
      <w:pPr>
        <w:rPr>
          <w:rFonts w:asciiTheme="majorHAnsi" w:eastAsiaTheme="majorEastAsia" w:hAnsiTheme="majorHAnsi" w:cstheme="majorBidi"/>
          <w:b/>
          <w:bCs/>
          <w:color w:val="345A8A" w:themeColor="accent1" w:themeShade="B5"/>
          <w:sz w:val="32"/>
          <w:szCs w:val="32"/>
        </w:rPr>
      </w:pPr>
    </w:p>
    <w:p w14:paraId="14A8E110" w14:textId="77777777" w:rsidR="00404744" w:rsidRDefault="00404744">
      <w:pPr>
        <w:rPr>
          <w:rFonts w:asciiTheme="majorHAnsi" w:eastAsiaTheme="majorEastAsia" w:hAnsiTheme="majorHAnsi" w:cstheme="majorBidi"/>
          <w:b/>
          <w:bCs/>
          <w:color w:val="345A8A" w:themeColor="accent1" w:themeShade="B5"/>
          <w:sz w:val="32"/>
          <w:szCs w:val="32"/>
        </w:rPr>
      </w:pPr>
    </w:p>
    <w:p w14:paraId="5E38A026" w14:textId="77777777" w:rsidR="00F41A69" w:rsidRDefault="00F41A69" w:rsidP="00F41A69">
      <w:pPr>
        <w:pStyle w:val="Heading1"/>
      </w:pPr>
      <w:r>
        <w:t>Reference</w:t>
      </w:r>
    </w:p>
    <w:p w14:paraId="102DCDDD" w14:textId="77777777" w:rsidR="00942730" w:rsidRPr="00942730" w:rsidRDefault="00F41A69" w:rsidP="00942730">
      <w:pPr>
        <w:pStyle w:val="Bibliography"/>
        <w:rPr>
          <w:rFonts w:ascii="Cambria" w:hAnsi="Cambria"/>
        </w:rPr>
      </w:pPr>
      <w:r w:rsidRPr="00F41A69">
        <w:fldChar w:fldCharType="begin"/>
      </w:r>
      <w:r w:rsidR="00F14DA5">
        <w:instrText xml:space="preserve"> ADDIN ZOTERO_BIBL {"uncited":[],"omitted":[],"custom":[]} CSL_BIBLIOGRAPHY </w:instrText>
      </w:r>
      <w:r w:rsidRPr="00F41A69">
        <w:fldChar w:fldCharType="separate"/>
      </w:r>
      <w:r w:rsidR="00942730" w:rsidRPr="00942730">
        <w:rPr>
          <w:rFonts w:ascii="Cambria" w:hAnsi="Cambria"/>
        </w:rPr>
        <w:t xml:space="preserve">Angrist, Joshua, and Jorn-Steffen Pischke. 2009. </w:t>
      </w:r>
      <w:r w:rsidR="00942730" w:rsidRPr="00942730">
        <w:rPr>
          <w:rFonts w:ascii="Cambria" w:hAnsi="Cambria"/>
          <w:i/>
          <w:iCs/>
        </w:rPr>
        <w:t>Mostly Harmless Econometrics: An Empiricist’s Comparison</w:t>
      </w:r>
      <w:r w:rsidR="00942730" w:rsidRPr="00942730">
        <w:rPr>
          <w:rFonts w:ascii="Cambria" w:hAnsi="Cambria"/>
        </w:rPr>
        <w:t>. Princeton University Press.</w:t>
      </w:r>
    </w:p>
    <w:p w14:paraId="483F5015" w14:textId="77777777" w:rsidR="00942730" w:rsidRPr="00942730" w:rsidRDefault="00942730" w:rsidP="00942730">
      <w:pPr>
        <w:pStyle w:val="Bibliography"/>
        <w:rPr>
          <w:rFonts w:ascii="Cambria" w:hAnsi="Cambria"/>
        </w:rPr>
      </w:pPr>
      <w:r w:rsidRPr="00942730">
        <w:rPr>
          <w:rFonts w:ascii="Cambria" w:hAnsi="Cambria"/>
        </w:rPr>
        <w:t xml:space="preserve">Bent, Elizabeth, and Krute Singa. 2009. “Modal Choices and Spending Patterns of Travelers to Downtown San Francisco, California: Impacts of Congestion Pricing on Retail Trade.” </w:t>
      </w:r>
      <w:r w:rsidRPr="00942730">
        <w:rPr>
          <w:rFonts w:ascii="Cambria" w:hAnsi="Cambria"/>
          <w:i/>
          <w:iCs/>
        </w:rPr>
        <w:t>Transportation Research Record: Journal of the Transportation Research Board</w:t>
      </w:r>
      <w:r w:rsidRPr="00942730">
        <w:rPr>
          <w:rFonts w:ascii="Cambria" w:hAnsi="Cambria"/>
        </w:rPr>
        <w:t xml:space="preserve"> 2115 (December): 66–74. https://doi.org/10.3141/2115-09.</w:t>
      </w:r>
    </w:p>
    <w:p w14:paraId="3FF00354" w14:textId="77777777" w:rsidR="00942730" w:rsidRPr="00942730" w:rsidRDefault="00942730" w:rsidP="00942730">
      <w:pPr>
        <w:pStyle w:val="Bibliography"/>
        <w:rPr>
          <w:rFonts w:ascii="Cambria" w:hAnsi="Cambria"/>
        </w:rPr>
      </w:pPr>
      <w:r w:rsidRPr="00942730">
        <w:rPr>
          <w:rFonts w:ascii="Cambria" w:hAnsi="Cambria"/>
        </w:rPr>
        <w:t>Clifton, Kelly, Christopher Muhs, Sara Morrissey, Tomás Morrissey, Kristina Currans, and Chloe Ritter. 2012. “Consumer Behavior and Travel Mode Choice.” Oregon Transportation Research and Education Consortium. http://kellyjclifton.com/Research/EconImpactsofBicycling/OTRECReport-ConsBehavTravelChoices_Nov2012.pdf.</w:t>
      </w:r>
    </w:p>
    <w:p w14:paraId="75BC9537" w14:textId="77777777" w:rsidR="00942730" w:rsidRPr="00942730" w:rsidRDefault="00942730" w:rsidP="00942730">
      <w:pPr>
        <w:pStyle w:val="Bibliography"/>
        <w:rPr>
          <w:rFonts w:ascii="Cambria" w:hAnsi="Cambria"/>
        </w:rPr>
      </w:pPr>
      <w:r w:rsidRPr="00942730">
        <w:rPr>
          <w:rFonts w:ascii="Cambria" w:hAnsi="Cambria"/>
        </w:rPr>
        <w:t xml:space="preserve">Dill, Jennifer, Nathan McNeil, Joseph Broach, and Liang Ma. 2014. “Bicycle Boulevards and Changes in Physical Activity and Active Transportation: Findings from a Natural Experiment.” </w:t>
      </w:r>
      <w:r w:rsidRPr="00942730">
        <w:rPr>
          <w:rFonts w:ascii="Cambria" w:hAnsi="Cambria"/>
          <w:i/>
          <w:iCs/>
        </w:rPr>
        <w:t>Preventive Medicine</w:t>
      </w:r>
      <w:r w:rsidRPr="00942730">
        <w:rPr>
          <w:rFonts w:ascii="Cambria" w:hAnsi="Cambria"/>
        </w:rPr>
        <w:t xml:space="preserve"> 69 (December): S74–78. https://doi.org/10.1016/j.ypmed.2014.10.006.</w:t>
      </w:r>
    </w:p>
    <w:p w14:paraId="5EB547CE" w14:textId="77777777" w:rsidR="00942730" w:rsidRPr="00942730" w:rsidRDefault="00942730" w:rsidP="00942730">
      <w:pPr>
        <w:pStyle w:val="Bibliography"/>
        <w:rPr>
          <w:rFonts w:ascii="Cambria" w:hAnsi="Cambria"/>
        </w:rPr>
      </w:pPr>
      <w:r w:rsidRPr="00942730">
        <w:rPr>
          <w:rFonts w:ascii="Cambria" w:hAnsi="Cambria"/>
        </w:rPr>
        <w:t>Flusche, Darren. 2012. “Bicycling Means Business: The Economic Benefits of Bicycle Infrastructure.” League of American Bicyclists. http://www.advocacyadvance.org/site_images/content/Final_Econ_Update(small).pdf.</w:t>
      </w:r>
    </w:p>
    <w:p w14:paraId="6B90882B" w14:textId="77777777" w:rsidR="00942730" w:rsidRPr="00942730" w:rsidRDefault="00942730" w:rsidP="00942730">
      <w:pPr>
        <w:pStyle w:val="Bibliography"/>
        <w:rPr>
          <w:rFonts w:ascii="Cambria" w:hAnsi="Cambria"/>
        </w:rPr>
      </w:pPr>
      <w:r w:rsidRPr="00942730">
        <w:rPr>
          <w:rFonts w:ascii="Cambria" w:hAnsi="Cambria"/>
        </w:rPr>
        <w:t>Jaffe, Eric. 2015. “The Complete Business Case for Converting Street Parking Into Bike Lanes.” 2015. http://www.citylab.com/cityfixer/2015/03/the-complete-business-case-for-converting-street-parking-into-bike-lanes/387595/.</w:t>
      </w:r>
    </w:p>
    <w:p w14:paraId="22C4CDC3" w14:textId="77777777" w:rsidR="00942730" w:rsidRPr="00942730" w:rsidRDefault="00942730" w:rsidP="00942730">
      <w:pPr>
        <w:pStyle w:val="Bibliography"/>
        <w:rPr>
          <w:rFonts w:ascii="Cambria" w:hAnsi="Cambria"/>
        </w:rPr>
      </w:pPr>
      <w:r w:rsidRPr="00942730">
        <w:rPr>
          <w:rFonts w:ascii="Cambria" w:hAnsi="Cambria"/>
        </w:rPr>
        <w:t xml:space="preserve">Lopez Bernal, James, Steven Cummins, and Antonio Gasparrini. 2016. “Interrupted Time Series Regression for the Evaluation of Public Health Interventions: A Tutorial.” </w:t>
      </w:r>
      <w:r w:rsidRPr="00942730">
        <w:rPr>
          <w:rFonts w:ascii="Cambria" w:hAnsi="Cambria"/>
          <w:i/>
          <w:iCs/>
        </w:rPr>
        <w:t>International Journal of Epidemiology</w:t>
      </w:r>
      <w:r w:rsidRPr="00942730">
        <w:rPr>
          <w:rFonts w:ascii="Cambria" w:hAnsi="Cambria"/>
        </w:rPr>
        <w:t>, June, dyw098. https://doi.org/10.1093/ije/dyw098.</w:t>
      </w:r>
    </w:p>
    <w:p w14:paraId="73167A4B" w14:textId="77777777" w:rsidR="00942730" w:rsidRPr="00942730" w:rsidRDefault="00942730" w:rsidP="00942730">
      <w:pPr>
        <w:pStyle w:val="Bibliography"/>
        <w:rPr>
          <w:rFonts w:ascii="Cambria" w:hAnsi="Cambria"/>
        </w:rPr>
      </w:pPr>
      <w:r w:rsidRPr="00942730">
        <w:rPr>
          <w:rFonts w:ascii="Cambria" w:hAnsi="Cambria"/>
        </w:rPr>
        <w:t>NYCDOT. 2013. “The Economic Benefits of Sustainable Streets.” New York City Department of Transportation. http://www.nyc.gov/html/dot/downloads/pdf/dot-economic-benefits-of-sustainable-streets.pdf.</w:t>
      </w:r>
    </w:p>
    <w:p w14:paraId="405E81E3" w14:textId="77777777" w:rsidR="00942730" w:rsidRPr="00942730" w:rsidRDefault="00942730" w:rsidP="00942730">
      <w:pPr>
        <w:pStyle w:val="Bibliography"/>
        <w:rPr>
          <w:rFonts w:ascii="Cambria" w:hAnsi="Cambria"/>
        </w:rPr>
      </w:pPr>
      <w:r w:rsidRPr="00942730">
        <w:rPr>
          <w:rFonts w:ascii="Cambria" w:hAnsi="Cambria"/>
        </w:rPr>
        <w:t>Poirier, Joseph. 2017. “Are Bicycles Good for Business? A San Francisco Examination in Three Case Studies.” University of California, Berkeley.</w:t>
      </w:r>
    </w:p>
    <w:p w14:paraId="04A9B803" w14:textId="77777777" w:rsidR="00942730" w:rsidRPr="00942730" w:rsidRDefault="00942730" w:rsidP="00942730">
      <w:pPr>
        <w:pStyle w:val="Bibliography"/>
        <w:rPr>
          <w:rFonts w:ascii="Cambria" w:hAnsi="Cambria"/>
        </w:rPr>
      </w:pPr>
      <w:r w:rsidRPr="00942730">
        <w:rPr>
          <w:rFonts w:ascii="Cambria" w:hAnsi="Cambria"/>
        </w:rPr>
        <w:t>Rowe, Kyle. 2013. “Measuring the Economic Impact of Bicycle Facilities on Neighborhood Business Districts.” http://bikewalkkc.org/wp-content/uploads/2016/03/Bikenomics_v4.pdf.</w:t>
      </w:r>
    </w:p>
    <w:p w14:paraId="7E04F6B2" w14:textId="77777777" w:rsidR="00942730" w:rsidRPr="00942730" w:rsidRDefault="00942730" w:rsidP="00942730">
      <w:pPr>
        <w:pStyle w:val="Bibliography"/>
        <w:rPr>
          <w:rFonts w:ascii="Cambria" w:hAnsi="Cambria"/>
        </w:rPr>
      </w:pPr>
      <w:r w:rsidRPr="00942730">
        <w:rPr>
          <w:rFonts w:ascii="Cambria" w:hAnsi="Cambria"/>
        </w:rPr>
        <w:t xml:space="preserve">Stantec Consulting. 2011. “Vancouver Separated Bicycle Lanes Business Impact Study.” Stantec Consulting Ltd. </w:t>
      </w:r>
      <w:r w:rsidRPr="00942730">
        <w:rPr>
          <w:rFonts w:ascii="Cambria" w:hAnsi="Cambria"/>
        </w:rPr>
        <w:lastRenderedPageBreak/>
        <w:t>http://www.peoplepoweredmovement.org/site/images/uploads/penv3-BusinessImpactStudyReportDowntownSeparatedBicycleLanes-StantecReport.pdf.</w:t>
      </w:r>
    </w:p>
    <w:p w14:paraId="1F78FFEE" w14:textId="77777777" w:rsidR="00942730" w:rsidRPr="00942730" w:rsidRDefault="00942730" w:rsidP="00942730">
      <w:pPr>
        <w:pStyle w:val="Bibliography"/>
        <w:rPr>
          <w:rFonts w:ascii="Cambria" w:hAnsi="Cambria"/>
        </w:rPr>
      </w:pPr>
      <w:r w:rsidRPr="00942730">
        <w:rPr>
          <w:rFonts w:ascii="Cambria" w:hAnsi="Cambria"/>
        </w:rPr>
        <w:t xml:space="preserve">Yu, Chia-Yuan, Mingjie Xu, Samuel D. Towne, and Sara Iman. 2018. “Assessing the Economic Benefits and Resilience of Complete Streets in Orlando, FL: A Natural Experimental Design Approach.” </w:t>
      </w:r>
      <w:r w:rsidRPr="00942730">
        <w:rPr>
          <w:rFonts w:ascii="Cambria" w:hAnsi="Cambria"/>
          <w:i/>
          <w:iCs/>
        </w:rPr>
        <w:t>Journal of Transport &amp; Health</w:t>
      </w:r>
      <w:r w:rsidRPr="00942730">
        <w:rPr>
          <w:rFonts w:ascii="Cambria" w:hAnsi="Cambria"/>
        </w:rPr>
        <w:t xml:space="preserve"> 8: 169–78. https://doi.org/10.1016/j.jth.2017.11.005.</w:t>
      </w:r>
    </w:p>
    <w:p w14:paraId="407E3622" w14:textId="7D065CBC" w:rsidR="004C3502" w:rsidRDefault="00F41A69" w:rsidP="00F41A69">
      <w:pPr>
        <w:pStyle w:val="Heading1"/>
        <w:numPr>
          <w:ilvl w:val="0"/>
          <w:numId w:val="0"/>
        </w:numPr>
      </w:pPr>
      <w:r w:rsidRPr="00F41A69">
        <w:rPr>
          <w:rFonts w:asciiTheme="minorHAnsi" w:hAnsiTheme="minorHAnsi"/>
          <w:sz w:val="24"/>
          <w:szCs w:val="24"/>
        </w:rPr>
        <w:fldChar w:fldCharType="end"/>
      </w:r>
    </w:p>
    <w:p w14:paraId="44EF7E35" w14:textId="77777777" w:rsidR="00A61086" w:rsidRDefault="00FF17C4">
      <w:pPr>
        <w:pStyle w:val="Heading1"/>
      </w:pPr>
      <w:bookmarkStart w:id="41" w:name="technical-appendix"/>
      <w:bookmarkEnd w:id="41"/>
      <w:r>
        <w:t>Technical Appendix</w:t>
      </w:r>
    </w:p>
    <w:p w14:paraId="33C6C106" w14:textId="0410E16F" w:rsidR="00AD0899" w:rsidRDefault="00AD0899" w:rsidP="00AD0899">
      <w:pPr>
        <w:pStyle w:val="FirstParagraph"/>
      </w:pPr>
      <w:bookmarkStart w:id="42" w:name="lehd-models"/>
      <w:bookmarkEnd w:id="42"/>
      <w:r>
        <w:t>The following section presents the estimation tables of the difference-in-difference (DID) and interrupted time series (ITS) analysis for each corridor group. The sections are organized by the data source of the model: LEHD, sales tax and QCEW. Please refer to the appropriate sections earlier in the report for descriptions of the data, methodology and interpretation of the results.</w:t>
      </w:r>
    </w:p>
    <w:p w14:paraId="42F3268A" w14:textId="77777777" w:rsidR="001A46D7" w:rsidRDefault="001A46D7" w:rsidP="001A46D7">
      <w:pPr>
        <w:pStyle w:val="Heading2"/>
      </w:pPr>
      <w:r>
        <w:t>Corridor Comparisons</w:t>
      </w:r>
    </w:p>
    <w:p w14:paraId="051A415F" w14:textId="77777777" w:rsidR="001A46D7" w:rsidRDefault="001A46D7" w:rsidP="001A46D7">
      <w:pPr>
        <w:pStyle w:val="FirstParagraph"/>
        <w:rPr>
          <w:rFonts w:ascii="Cambria" w:hAnsi="Cambria"/>
        </w:rPr>
      </w:pPr>
      <w:r>
        <w:rPr>
          <w:rFonts w:ascii="Cambria" w:hAnsi="Cambria"/>
        </w:rPr>
        <w:t>T-statistics of Corridor Comparison test (numbers in parentheses indicate p-value)</w:t>
      </w:r>
    </w:p>
    <w:tbl>
      <w:tblPr>
        <w:tblStyle w:val="TableGrid"/>
        <w:tblW w:w="0" w:type="auto"/>
        <w:tblLook w:val="04A0" w:firstRow="1" w:lastRow="0" w:firstColumn="1" w:lastColumn="0" w:noHBand="0" w:noVBand="1"/>
      </w:tblPr>
      <w:tblGrid>
        <w:gridCol w:w="1970"/>
        <w:gridCol w:w="1230"/>
        <w:gridCol w:w="1230"/>
        <w:gridCol w:w="1230"/>
        <w:gridCol w:w="1230"/>
        <w:gridCol w:w="1230"/>
        <w:gridCol w:w="1230"/>
      </w:tblGrid>
      <w:tr w:rsidR="001A46D7" w:rsidRPr="00F418E9" w14:paraId="3FAF762B" w14:textId="77777777" w:rsidTr="00620704">
        <w:tc>
          <w:tcPr>
            <w:tcW w:w="1970" w:type="dxa"/>
            <w:vMerge w:val="restart"/>
          </w:tcPr>
          <w:p w14:paraId="00538D4F" w14:textId="77777777" w:rsidR="001A46D7" w:rsidRPr="00F418E9" w:rsidRDefault="001A46D7" w:rsidP="001A46D7">
            <w:pPr>
              <w:pStyle w:val="BodyText"/>
              <w:spacing w:before="0" w:after="0"/>
              <w:rPr>
                <w:rFonts w:ascii="Cambria" w:hAnsi="Cambria"/>
              </w:rPr>
            </w:pPr>
            <w:r w:rsidRPr="00F418E9">
              <w:rPr>
                <w:rFonts w:ascii="Cambria" w:hAnsi="Cambria"/>
              </w:rPr>
              <w:t>Corridor</w:t>
            </w:r>
          </w:p>
        </w:tc>
        <w:tc>
          <w:tcPr>
            <w:tcW w:w="2460" w:type="dxa"/>
            <w:gridSpan w:val="2"/>
          </w:tcPr>
          <w:p w14:paraId="2060BB9C" w14:textId="77777777" w:rsidR="001A46D7" w:rsidRPr="00F418E9" w:rsidRDefault="001A46D7" w:rsidP="001A46D7">
            <w:pPr>
              <w:pStyle w:val="BodyText"/>
              <w:spacing w:before="0" w:after="0"/>
              <w:jc w:val="center"/>
              <w:rPr>
                <w:rFonts w:ascii="Cambria" w:hAnsi="Cambria"/>
              </w:rPr>
            </w:pPr>
            <w:r>
              <w:rPr>
                <w:rFonts w:ascii="Cambria" w:hAnsi="Cambria"/>
              </w:rPr>
              <w:t>Job per block</w:t>
            </w:r>
          </w:p>
        </w:tc>
        <w:tc>
          <w:tcPr>
            <w:tcW w:w="2460" w:type="dxa"/>
            <w:gridSpan w:val="2"/>
          </w:tcPr>
          <w:p w14:paraId="3A0A1415" w14:textId="77777777" w:rsidR="001A46D7" w:rsidRPr="00F418E9" w:rsidRDefault="001A46D7" w:rsidP="001A46D7">
            <w:pPr>
              <w:pStyle w:val="BodyText"/>
              <w:spacing w:before="0" w:after="0"/>
              <w:jc w:val="center"/>
              <w:rPr>
                <w:rFonts w:ascii="Cambria" w:hAnsi="Cambria"/>
              </w:rPr>
            </w:pPr>
            <w:r>
              <w:rPr>
                <w:rFonts w:ascii="Cambria" w:hAnsi="Cambria"/>
              </w:rPr>
              <w:t>Business job share</w:t>
            </w:r>
          </w:p>
        </w:tc>
        <w:tc>
          <w:tcPr>
            <w:tcW w:w="2460" w:type="dxa"/>
            <w:gridSpan w:val="2"/>
          </w:tcPr>
          <w:p w14:paraId="2FB14BA3" w14:textId="77777777" w:rsidR="001A46D7" w:rsidRPr="00F418E9" w:rsidRDefault="001A46D7" w:rsidP="001A46D7">
            <w:pPr>
              <w:pStyle w:val="BodyText"/>
              <w:spacing w:before="0" w:after="0"/>
              <w:jc w:val="center"/>
              <w:rPr>
                <w:rFonts w:ascii="Cambria" w:hAnsi="Cambria"/>
              </w:rPr>
            </w:pPr>
            <w:r>
              <w:rPr>
                <w:rFonts w:ascii="Cambria" w:hAnsi="Cambria"/>
              </w:rPr>
              <w:t>Pre-construction growth rate</w:t>
            </w:r>
          </w:p>
        </w:tc>
      </w:tr>
      <w:tr w:rsidR="001A46D7" w:rsidRPr="00F418E9" w14:paraId="347C75F6" w14:textId="77777777" w:rsidTr="00620704">
        <w:tc>
          <w:tcPr>
            <w:tcW w:w="1970" w:type="dxa"/>
            <w:vMerge/>
          </w:tcPr>
          <w:p w14:paraId="4955342D" w14:textId="77777777" w:rsidR="001A46D7" w:rsidRPr="00F418E9" w:rsidRDefault="001A46D7" w:rsidP="001A46D7">
            <w:pPr>
              <w:pStyle w:val="BodyText"/>
              <w:spacing w:before="0" w:after="0"/>
              <w:rPr>
                <w:rFonts w:ascii="Cambria" w:hAnsi="Cambria"/>
              </w:rPr>
            </w:pPr>
          </w:p>
        </w:tc>
        <w:tc>
          <w:tcPr>
            <w:tcW w:w="1230" w:type="dxa"/>
          </w:tcPr>
          <w:p w14:paraId="64BF730B" w14:textId="77777777" w:rsidR="001A46D7" w:rsidRPr="00F418E9" w:rsidRDefault="001A46D7" w:rsidP="001A46D7">
            <w:pPr>
              <w:pStyle w:val="BodyText"/>
              <w:spacing w:before="0" w:after="0"/>
              <w:jc w:val="center"/>
              <w:rPr>
                <w:rFonts w:ascii="Cambria" w:hAnsi="Cambria"/>
              </w:rPr>
            </w:pPr>
            <w:r>
              <w:rPr>
                <w:rFonts w:ascii="Cambria" w:hAnsi="Cambria"/>
              </w:rPr>
              <w:t>Retail</w:t>
            </w:r>
          </w:p>
        </w:tc>
        <w:tc>
          <w:tcPr>
            <w:tcW w:w="1230" w:type="dxa"/>
          </w:tcPr>
          <w:p w14:paraId="1FAD5EE4" w14:textId="77777777" w:rsidR="001A46D7" w:rsidRPr="00F418E9" w:rsidRDefault="001A46D7" w:rsidP="001A46D7">
            <w:pPr>
              <w:pStyle w:val="BodyText"/>
              <w:spacing w:before="0" w:after="0"/>
              <w:jc w:val="center"/>
              <w:rPr>
                <w:rFonts w:ascii="Cambria" w:hAnsi="Cambria"/>
              </w:rPr>
            </w:pPr>
            <w:r>
              <w:rPr>
                <w:rFonts w:ascii="Cambria" w:hAnsi="Cambria"/>
              </w:rPr>
              <w:t>Food</w:t>
            </w:r>
          </w:p>
        </w:tc>
        <w:tc>
          <w:tcPr>
            <w:tcW w:w="1230" w:type="dxa"/>
          </w:tcPr>
          <w:p w14:paraId="591E07E6" w14:textId="77777777" w:rsidR="001A46D7" w:rsidRPr="00F418E9" w:rsidRDefault="001A46D7" w:rsidP="001A46D7">
            <w:pPr>
              <w:pStyle w:val="BodyText"/>
              <w:spacing w:before="0" w:after="0"/>
              <w:jc w:val="center"/>
              <w:rPr>
                <w:rFonts w:ascii="Cambria" w:hAnsi="Cambria"/>
              </w:rPr>
            </w:pPr>
            <w:r>
              <w:rPr>
                <w:rFonts w:ascii="Cambria" w:hAnsi="Cambria"/>
              </w:rPr>
              <w:t>Metric 1</w:t>
            </w:r>
          </w:p>
        </w:tc>
        <w:tc>
          <w:tcPr>
            <w:tcW w:w="1230" w:type="dxa"/>
          </w:tcPr>
          <w:p w14:paraId="7021EFCC" w14:textId="77777777" w:rsidR="001A46D7" w:rsidRPr="00F418E9" w:rsidRDefault="001A46D7" w:rsidP="001A46D7">
            <w:pPr>
              <w:pStyle w:val="BodyText"/>
              <w:spacing w:before="0" w:after="0"/>
              <w:jc w:val="center"/>
              <w:rPr>
                <w:rFonts w:ascii="Cambria" w:hAnsi="Cambria"/>
              </w:rPr>
            </w:pPr>
            <w:r>
              <w:rPr>
                <w:rFonts w:ascii="Cambria" w:hAnsi="Cambria"/>
              </w:rPr>
              <w:t>Metric 2</w:t>
            </w:r>
          </w:p>
        </w:tc>
        <w:tc>
          <w:tcPr>
            <w:tcW w:w="1230" w:type="dxa"/>
          </w:tcPr>
          <w:p w14:paraId="60F95EDE" w14:textId="77777777" w:rsidR="001A46D7" w:rsidRPr="00F418E9" w:rsidRDefault="001A46D7" w:rsidP="001A46D7">
            <w:pPr>
              <w:pStyle w:val="BodyText"/>
              <w:spacing w:before="0" w:after="0"/>
              <w:jc w:val="center"/>
              <w:rPr>
                <w:rFonts w:ascii="Cambria" w:hAnsi="Cambria"/>
              </w:rPr>
            </w:pPr>
            <w:r>
              <w:rPr>
                <w:rFonts w:ascii="Cambria" w:hAnsi="Cambria"/>
              </w:rPr>
              <w:t>Retail</w:t>
            </w:r>
          </w:p>
        </w:tc>
        <w:tc>
          <w:tcPr>
            <w:tcW w:w="1230" w:type="dxa"/>
          </w:tcPr>
          <w:p w14:paraId="59B94AEE" w14:textId="77777777" w:rsidR="001A46D7" w:rsidRPr="00F418E9" w:rsidRDefault="001A46D7" w:rsidP="001A46D7">
            <w:pPr>
              <w:pStyle w:val="BodyText"/>
              <w:spacing w:before="0" w:after="0"/>
              <w:jc w:val="center"/>
              <w:rPr>
                <w:rFonts w:ascii="Cambria" w:hAnsi="Cambria"/>
              </w:rPr>
            </w:pPr>
            <w:r>
              <w:rPr>
                <w:rFonts w:ascii="Cambria" w:hAnsi="Cambria"/>
              </w:rPr>
              <w:t>Food</w:t>
            </w:r>
          </w:p>
        </w:tc>
      </w:tr>
      <w:tr w:rsidR="001A46D7" w:rsidRPr="00F418E9" w14:paraId="3EF72B7B" w14:textId="77777777" w:rsidTr="00620704">
        <w:tc>
          <w:tcPr>
            <w:tcW w:w="9350" w:type="dxa"/>
            <w:gridSpan w:val="7"/>
          </w:tcPr>
          <w:p w14:paraId="25C62E9E" w14:textId="77777777" w:rsidR="001A46D7" w:rsidRPr="00893BAD" w:rsidRDefault="001A46D7" w:rsidP="001A46D7">
            <w:pPr>
              <w:pStyle w:val="BodyText"/>
              <w:spacing w:before="0" w:after="0"/>
              <w:rPr>
                <w:rFonts w:ascii="Cambria" w:hAnsi="Cambria"/>
                <w:b/>
              </w:rPr>
            </w:pPr>
            <w:r w:rsidRPr="00893BAD">
              <w:rPr>
                <w:rFonts w:ascii="Cambria" w:hAnsi="Cambria"/>
                <w:b/>
              </w:rPr>
              <w:t>Virginia</w:t>
            </w:r>
          </w:p>
        </w:tc>
      </w:tr>
      <w:tr w:rsidR="001A46D7" w:rsidRPr="00F418E9" w14:paraId="400ED0DB" w14:textId="77777777" w:rsidTr="00620704">
        <w:tc>
          <w:tcPr>
            <w:tcW w:w="1970" w:type="dxa"/>
          </w:tcPr>
          <w:p w14:paraId="2B4BDD7C" w14:textId="77777777" w:rsidR="001A46D7" w:rsidRPr="00F418E9" w:rsidRDefault="001A46D7" w:rsidP="001A46D7">
            <w:pPr>
              <w:pStyle w:val="BodyText"/>
              <w:spacing w:before="0" w:after="0"/>
              <w:rPr>
                <w:rFonts w:ascii="Cambria" w:hAnsi="Cambria"/>
              </w:rPr>
            </w:pPr>
            <w:r>
              <w:rPr>
                <w:rFonts w:ascii="Cambria" w:hAnsi="Cambria"/>
              </w:rPr>
              <w:t>Meridian</w:t>
            </w:r>
          </w:p>
        </w:tc>
        <w:tc>
          <w:tcPr>
            <w:tcW w:w="1230" w:type="dxa"/>
            <w:shd w:val="clear" w:color="auto" w:fill="auto"/>
          </w:tcPr>
          <w:p w14:paraId="187CA2AF" w14:textId="77777777" w:rsidR="001A46D7" w:rsidRDefault="001A46D7" w:rsidP="001A46D7">
            <w:pPr>
              <w:pStyle w:val="BodyText"/>
              <w:spacing w:before="0" w:after="0"/>
              <w:jc w:val="center"/>
              <w:rPr>
                <w:rFonts w:ascii="Cambria" w:hAnsi="Cambria"/>
              </w:rPr>
            </w:pPr>
            <w:r>
              <w:rPr>
                <w:rFonts w:ascii="Cambria" w:hAnsi="Cambria"/>
              </w:rPr>
              <w:t>-1.26</w:t>
            </w:r>
          </w:p>
          <w:p w14:paraId="0079D5BD" w14:textId="77777777" w:rsidR="001A46D7" w:rsidRPr="00F418E9" w:rsidRDefault="001A46D7" w:rsidP="001A46D7">
            <w:pPr>
              <w:pStyle w:val="BodyText"/>
              <w:spacing w:before="0" w:after="0"/>
              <w:jc w:val="center"/>
              <w:rPr>
                <w:rFonts w:ascii="Cambria" w:hAnsi="Cambria"/>
              </w:rPr>
            </w:pPr>
            <w:r>
              <w:rPr>
                <w:rFonts w:ascii="Cambria" w:hAnsi="Cambria"/>
              </w:rPr>
              <w:t>(0.218)</w:t>
            </w:r>
          </w:p>
        </w:tc>
        <w:tc>
          <w:tcPr>
            <w:tcW w:w="1230" w:type="dxa"/>
            <w:shd w:val="clear" w:color="auto" w:fill="FFFF00"/>
          </w:tcPr>
          <w:p w14:paraId="5D09760C" w14:textId="77777777" w:rsidR="001A46D7" w:rsidRDefault="001A46D7" w:rsidP="001A46D7">
            <w:pPr>
              <w:pStyle w:val="BodyText"/>
              <w:spacing w:before="0" w:after="0"/>
              <w:jc w:val="center"/>
              <w:rPr>
                <w:rFonts w:ascii="Cambria" w:hAnsi="Cambria"/>
              </w:rPr>
            </w:pPr>
            <w:r>
              <w:rPr>
                <w:rFonts w:ascii="Cambria" w:hAnsi="Cambria"/>
              </w:rPr>
              <w:t>-2.884</w:t>
            </w:r>
          </w:p>
          <w:p w14:paraId="4F0281A7" w14:textId="77777777" w:rsidR="001A46D7" w:rsidRPr="00F418E9" w:rsidRDefault="001A46D7" w:rsidP="001A46D7">
            <w:pPr>
              <w:pStyle w:val="BodyText"/>
              <w:spacing w:before="0" w:after="0"/>
              <w:jc w:val="center"/>
              <w:rPr>
                <w:rFonts w:ascii="Cambria" w:hAnsi="Cambria"/>
              </w:rPr>
            </w:pPr>
            <w:r>
              <w:rPr>
                <w:rFonts w:ascii="Cambria" w:hAnsi="Cambria"/>
              </w:rPr>
              <w:t xml:space="preserve"> (0.007)</w:t>
            </w:r>
          </w:p>
        </w:tc>
        <w:tc>
          <w:tcPr>
            <w:tcW w:w="1230" w:type="dxa"/>
          </w:tcPr>
          <w:p w14:paraId="2E34BA10" w14:textId="77777777" w:rsidR="001A46D7" w:rsidRPr="001F6AFC" w:rsidRDefault="001A46D7" w:rsidP="001A4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7" w:lineRule="atLeast"/>
              <w:jc w:val="center"/>
              <w:rPr>
                <w:rFonts w:ascii="Cambria" w:hAnsi="Cambria"/>
              </w:rPr>
            </w:pPr>
            <w:r w:rsidRPr="001F6AFC">
              <w:rPr>
                <w:rFonts w:ascii="Cambria" w:hAnsi="Cambria"/>
              </w:rPr>
              <w:t>-0.108</w:t>
            </w:r>
          </w:p>
          <w:p w14:paraId="37D2BBD9" w14:textId="77777777" w:rsidR="001A46D7" w:rsidRPr="00F418E9" w:rsidRDefault="001A46D7" w:rsidP="001A46D7">
            <w:pPr>
              <w:pStyle w:val="BodyText"/>
              <w:spacing w:before="0" w:after="0"/>
              <w:jc w:val="center"/>
              <w:rPr>
                <w:rFonts w:ascii="Cambria" w:hAnsi="Cambria"/>
              </w:rPr>
            </w:pPr>
            <w:r>
              <w:rPr>
                <w:rFonts w:ascii="Cambria" w:hAnsi="Cambria"/>
              </w:rPr>
              <w:t>(0.914)</w:t>
            </w:r>
          </w:p>
        </w:tc>
        <w:tc>
          <w:tcPr>
            <w:tcW w:w="1230" w:type="dxa"/>
          </w:tcPr>
          <w:p w14:paraId="2A7D4AFA" w14:textId="77777777" w:rsidR="001A46D7" w:rsidRPr="001F6AFC" w:rsidRDefault="001A46D7" w:rsidP="001A4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7" w:lineRule="atLeast"/>
              <w:jc w:val="center"/>
              <w:rPr>
                <w:rFonts w:ascii="Cambria" w:hAnsi="Cambria"/>
              </w:rPr>
            </w:pPr>
            <w:r w:rsidRPr="001F6AFC">
              <w:rPr>
                <w:rFonts w:ascii="Cambria" w:hAnsi="Cambria"/>
              </w:rPr>
              <w:t>0.063</w:t>
            </w:r>
          </w:p>
          <w:p w14:paraId="23B215D0" w14:textId="77777777" w:rsidR="001A46D7" w:rsidRPr="00F418E9" w:rsidRDefault="001A46D7" w:rsidP="001A46D7">
            <w:pPr>
              <w:pStyle w:val="BodyText"/>
              <w:spacing w:before="0" w:after="0"/>
              <w:jc w:val="center"/>
              <w:rPr>
                <w:rFonts w:ascii="Cambria" w:hAnsi="Cambria"/>
              </w:rPr>
            </w:pPr>
            <w:r>
              <w:rPr>
                <w:rFonts w:ascii="Cambria" w:hAnsi="Cambria"/>
              </w:rPr>
              <w:t>(0.949)</w:t>
            </w:r>
          </w:p>
        </w:tc>
        <w:tc>
          <w:tcPr>
            <w:tcW w:w="1230" w:type="dxa"/>
          </w:tcPr>
          <w:p w14:paraId="01FBA0DC" w14:textId="77777777" w:rsidR="001A46D7" w:rsidRPr="001F6AFC" w:rsidRDefault="001A46D7" w:rsidP="001A4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7" w:lineRule="atLeast"/>
              <w:jc w:val="center"/>
              <w:rPr>
                <w:rFonts w:ascii="Cambria" w:hAnsi="Cambria"/>
              </w:rPr>
            </w:pPr>
            <w:r w:rsidRPr="001F6AFC">
              <w:rPr>
                <w:rFonts w:ascii="Cambria" w:hAnsi="Cambria"/>
              </w:rPr>
              <w:t>0.579</w:t>
            </w:r>
          </w:p>
          <w:p w14:paraId="2D56D8A9" w14:textId="77777777" w:rsidR="001A46D7" w:rsidRPr="00F418E9" w:rsidRDefault="001A46D7" w:rsidP="001A46D7">
            <w:pPr>
              <w:pStyle w:val="BodyText"/>
              <w:spacing w:before="0" w:after="0"/>
              <w:jc w:val="center"/>
              <w:rPr>
                <w:rFonts w:ascii="Cambria" w:hAnsi="Cambria"/>
              </w:rPr>
            </w:pPr>
            <w:r>
              <w:rPr>
                <w:rFonts w:ascii="Cambria" w:hAnsi="Cambria"/>
              </w:rPr>
              <w:t>(0.579)</w:t>
            </w:r>
          </w:p>
        </w:tc>
        <w:tc>
          <w:tcPr>
            <w:tcW w:w="1230" w:type="dxa"/>
          </w:tcPr>
          <w:p w14:paraId="77C2A2D6" w14:textId="77777777" w:rsidR="001A46D7" w:rsidRPr="001F6AFC" w:rsidRDefault="001A46D7" w:rsidP="001A4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7" w:lineRule="atLeast"/>
              <w:jc w:val="center"/>
              <w:rPr>
                <w:rFonts w:ascii="Cambria" w:hAnsi="Cambria"/>
              </w:rPr>
            </w:pPr>
            <w:r w:rsidRPr="001F6AFC">
              <w:rPr>
                <w:rFonts w:ascii="Cambria" w:hAnsi="Cambria"/>
              </w:rPr>
              <w:t>0.639</w:t>
            </w:r>
          </w:p>
          <w:p w14:paraId="00EDDB9D" w14:textId="77777777" w:rsidR="001A46D7" w:rsidRPr="00F418E9" w:rsidRDefault="001A46D7" w:rsidP="001A46D7">
            <w:pPr>
              <w:pStyle w:val="BodyText"/>
              <w:spacing w:before="0" w:after="0"/>
              <w:jc w:val="center"/>
              <w:rPr>
                <w:rFonts w:ascii="Cambria" w:hAnsi="Cambria"/>
              </w:rPr>
            </w:pPr>
            <w:r>
              <w:rPr>
                <w:rFonts w:ascii="Cambria" w:hAnsi="Cambria"/>
              </w:rPr>
              <w:t>(0.545)</w:t>
            </w:r>
          </w:p>
        </w:tc>
      </w:tr>
      <w:tr w:rsidR="001A46D7" w:rsidRPr="00F418E9" w14:paraId="056891FD" w14:textId="77777777" w:rsidTr="00620704">
        <w:tc>
          <w:tcPr>
            <w:tcW w:w="1970" w:type="dxa"/>
          </w:tcPr>
          <w:p w14:paraId="136F2B98" w14:textId="77777777" w:rsidR="001A46D7" w:rsidRDefault="001A46D7" w:rsidP="001A46D7">
            <w:pPr>
              <w:pStyle w:val="BodyText"/>
              <w:spacing w:before="0" w:after="0"/>
              <w:rPr>
                <w:rFonts w:ascii="Cambria" w:hAnsi="Cambria"/>
              </w:rPr>
            </w:pPr>
            <w:r>
              <w:rPr>
                <w:rFonts w:ascii="Cambria" w:hAnsi="Cambria"/>
              </w:rPr>
              <w:t>Prospect</w:t>
            </w:r>
          </w:p>
        </w:tc>
        <w:tc>
          <w:tcPr>
            <w:tcW w:w="1230" w:type="dxa"/>
            <w:shd w:val="clear" w:color="auto" w:fill="auto"/>
          </w:tcPr>
          <w:p w14:paraId="2AE8107B" w14:textId="77777777" w:rsidR="001A46D7" w:rsidRPr="001F6AFC" w:rsidRDefault="001A46D7" w:rsidP="001A46D7">
            <w:pPr>
              <w:pStyle w:val="BodyText"/>
              <w:spacing w:before="0" w:after="0"/>
              <w:jc w:val="center"/>
              <w:rPr>
                <w:rFonts w:ascii="Cambria" w:hAnsi="Cambria"/>
              </w:rPr>
            </w:pPr>
            <w:r w:rsidRPr="001F6AFC">
              <w:rPr>
                <w:rFonts w:ascii="Cambria" w:hAnsi="Cambria"/>
              </w:rPr>
              <w:t>-0.894</w:t>
            </w:r>
          </w:p>
          <w:p w14:paraId="23CD033F" w14:textId="77777777" w:rsidR="001A46D7" w:rsidRDefault="001A46D7" w:rsidP="001A46D7">
            <w:pPr>
              <w:pStyle w:val="BodyText"/>
              <w:spacing w:before="0" w:after="0"/>
              <w:jc w:val="center"/>
              <w:rPr>
                <w:rFonts w:ascii="Cambria" w:hAnsi="Cambria"/>
              </w:rPr>
            </w:pPr>
            <w:r>
              <w:rPr>
                <w:rFonts w:ascii="Cambria" w:hAnsi="Cambria"/>
              </w:rPr>
              <w:t>(0.389)</w:t>
            </w:r>
          </w:p>
        </w:tc>
        <w:tc>
          <w:tcPr>
            <w:tcW w:w="1230" w:type="dxa"/>
          </w:tcPr>
          <w:p w14:paraId="0B024315" w14:textId="77777777" w:rsidR="001A46D7" w:rsidRPr="001F6AFC" w:rsidRDefault="001A46D7" w:rsidP="001A46D7">
            <w:pPr>
              <w:pStyle w:val="BodyText"/>
              <w:spacing w:before="0" w:after="0"/>
              <w:jc w:val="center"/>
              <w:rPr>
                <w:rFonts w:ascii="Cambria" w:hAnsi="Cambria"/>
              </w:rPr>
            </w:pPr>
            <w:r w:rsidRPr="001F6AFC">
              <w:rPr>
                <w:rFonts w:ascii="Cambria" w:hAnsi="Cambria"/>
              </w:rPr>
              <w:t>-0.096</w:t>
            </w:r>
          </w:p>
          <w:p w14:paraId="70D44322" w14:textId="77777777" w:rsidR="001A46D7" w:rsidRDefault="001A46D7" w:rsidP="001A46D7">
            <w:pPr>
              <w:pStyle w:val="BodyText"/>
              <w:spacing w:before="0" w:after="0"/>
              <w:jc w:val="center"/>
              <w:rPr>
                <w:rFonts w:ascii="Cambria" w:hAnsi="Cambria"/>
              </w:rPr>
            </w:pPr>
            <w:r>
              <w:rPr>
                <w:rFonts w:ascii="Cambria" w:hAnsi="Cambria"/>
              </w:rPr>
              <w:t>(0.923)</w:t>
            </w:r>
          </w:p>
        </w:tc>
        <w:tc>
          <w:tcPr>
            <w:tcW w:w="1230" w:type="dxa"/>
          </w:tcPr>
          <w:p w14:paraId="1A206CA2" w14:textId="77777777" w:rsidR="001A46D7" w:rsidRPr="001F6AFC" w:rsidRDefault="001A46D7" w:rsidP="001A46D7">
            <w:pPr>
              <w:pStyle w:val="BodyText"/>
              <w:spacing w:before="0" w:after="0"/>
              <w:jc w:val="center"/>
              <w:rPr>
                <w:rFonts w:ascii="Cambria" w:hAnsi="Cambria"/>
              </w:rPr>
            </w:pPr>
            <w:r w:rsidRPr="001F6AFC">
              <w:rPr>
                <w:rFonts w:ascii="Cambria" w:hAnsi="Cambria"/>
              </w:rPr>
              <w:t>-0.234</w:t>
            </w:r>
          </w:p>
          <w:p w14:paraId="68F4514D" w14:textId="77777777" w:rsidR="001A46D7" w:rsidRDefault="001A46D7" w:rsidP="001A46D7">
            <w:pPr>
              <w:pStyle w:val="BodyText"/>
              <w:spacing w:before="0" w:after="0"/>
              <w:jc w:val="center"/>
              <w:rPr>
                <w:rFonts w:ascii="Cambria" w:hAnsi="Cambria"/>
              </w:rPr>
            </w:pPr>
            <w:r>
              <w:rPr>
                <w:rFonts w:ascii="Cambria" w:hAnsi="Cambria"/>
              </w:rPr>
              <w:t>(0.816)</w:t>
            </w:r>
          </w:p>
        </w:tc>
        <w:tc>
          <w:tcPr>
            <w:tcW w:w="1230" w:type="dxa"/>
          </w:tcPr>
          <w:p w14:paraId="7FDFD7A0" w14:textId="77777777" w:rsidR="001A46D7" w:rsidRDefault="001A46D7" w:rsidP="001A46D7">
            <w:pPr>
              <w:pStyle w:val="BodyText"/>
              <w:spacing w:before="0" w:after="0"/>
              <w:jc w:val="center"/>
              <w:rPr>
                <w:rFonts w:ascii="Cambria" w:hAnsi="Cambria"/>
              </w:rPr>
            </w:pPr>
            <w:r>
              <w:rPr>
                <w:rFonts w:ascii="Cambria" w:hAnsi="Cambria"/>
              </w:rPr>
              <w:t>-0.100</w:t>
            </w:r>
          </w:p>
          <w:p w14:paraId="49602177" w14:textId="77777777" w:rsidR="001A46D7" w:rsidRDefault="001A46D7" w:rsidP="001A46D7">
            <w:pPr>
              <w:pStyle w:val="BodyText"/>
              <w:spacing w:before="0" w:after="0"/>
              <w:jc w:val="center"/>
              <w:rPr>
                <w:rFonts w:ascii="Cambria" w:hAnsi="Cambria"/>
              </w:rPr>
            </w:pPr>
            <w:r>
              <w:rPr>
                <w:rFonts w:ascii="Cambria" w:hAnsi="Cambria"/>
              </w:rPr>
              <w:t>(0.921)</w:t>
            </w:r>
          </w:p>
        </w:tc>
        <w:tc>
          <w:tcPr>
            <w:tcW w:w="1230" w:type="dxa"/>
          </w:tcPr>
          <w:p w14:paraId="07F0B451" w14:textId="77777777" w:rsidR="001A46D7" w:rsidRPr="001F6AFC" w:rsidRDefault="001A46D7" w:rsidP="001A4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7" w:lineRule="atLeast"/>
              <w:jc w:val="center"/>
              <w:rPr>
                <w:rFonts w:ascii="Cambria" w:hAnsi="Cambria"/>
              </w:rPr>
            </w:pPr>
            <w:r w:rsidRPr="001F6AFC">
              <w:rPr>
                <w:rFonts w:ascii="Cambria" w:hAnsi="Cambria"/>
              </w:rPr>
              <w:t>0.425</w:t>
            </w:r>
          </w:p>
          <w:p w14:paraId="384231FC" w14:textId="77777777" w:rsidR="001A46D7" w:rsidRDefault="001A46D7" w:rsidP="001A46D7">
            <w:pPr>
              <w:pStyle w:val="BodyText"/>
              <w:spacing w:before="0" w:after="0"/>
              <w:jc w:val="center"/>
              <w:rPr>
                <w:rFonts w:ascii="Cambria" w:hAnsi="Cambria"/>
              </w:rPr>
            </w:pPr>
            <w:r>
              <w:rPr>
                <w:rFonts w:ascii="Cambria" w:hAnsi="Cambria"/>
              </w:rPr>
              <w:t>(0.683)</w:t>
            </w:r>
          </w:p>
        </w:tc>
        <w:tc>
          <w:tcPr>
            <w:tcW w:w="1230" w:type="dxa"/>
          </w:tcPr>
          <w:p w14:paraId="5E8470FA" w14:textId="77777777" w:rsidR="001A46D7" w:rsidRDefault="001A46D7" w:rsidP="001A46D7">
            <w:pPr>
              <w:pStyle w:val="BodyText"/>
              <w:spacing w:before="0" w:after="0"/>
              <w:jc w:val="center"/>
              <w:rPr>
                <w:rFonts w:ascii="Cambria" w:hAnsi="Cambria"/>
              </w:rPr>
            </w:pPr>
            <w:r>
              <w:rPr>
                <w:rFonts w:ascii="Cambria" w:hAnsi="Cambria"/>
              </w:rPr>
              <w:t>-0.042</w:t>
            </w:r>
          </w:p>
          <w:p w14:paraId="19EF1E42" w14:textId="77777777" w:rsidR="001A46D7" w:rsidRDefault="001A46D7" w:rsidP="001A46D7">
            <w:pPr>
              <w:pStyle w:val="BodyText"/>
              <w:spacing w:before="0" w:after="0"/>
              <w:jc w:val="center"/>
              <w:rPr>
                <w:rFonts w:ascii="Cambria" w:hAnsi="Cambria"/>
              </w:rPr>
            </w:pPr>
            <w:r>
              <w:rPr>
                <w:rFonts w:ascii="Cambria" w:hAnsi="Cambria"/>
              </w:rPr>
              <w:t>(0.967)</w:t>
            </w:r>
          </w:p>
        </w:tc>
      </w:tr>
      <w:tr w:rsidR="001A46D7" w:rsidRPr="00F418E9" w14:paraId="4B8CC46A" w14:textId="77777777" w:rsidTr="00620704">
        <w:tc>
          <w:tcPr>
            <w:tcW w:w="1970" w:type="dxa"/>
          </w:tcPr>
          <w:p w14:paraId="17B53961" w14:textId="77777777" w:rsidR="001A46D7" w:rsidRDefault="001A46D7" w:rsidP="001A46D7">
            <w:pPr>
              <w:pStyle w:val="BodyText"/>
              <w:spacing w:before="0" w:after="0"/>
              <w:rPr>
                <w:rFonts w:ascii="Cambria" w:hAnsi="Cambria"/>
              </w:rPr>
            </w:pPr>
            <w:r>
              <w:rPr>
                <w:rFonts w:ascii="Cambria" w:hAnsi="Cambria"/>
              </w:rPr>
              <w:t>Shelby</w:t>
            </w:r>
          </w:p>
        </w:tc>
        <w:tc>
          <w:tcPr>
            <w:tcW w:w="1230" w:type="dxa"/>
            <w:shd w:val="clear" w:color="auto" w:fill="auto"/>
          </w:tcPr>
          <w:p w14:paraId="1E6706FF" w14:textId="77777777" w:rsidR="001A46D7" w:rsidRPr="001F6AFC" w:rsidRDefault="001A46D7" w:rsidP="001A46D7">
            <w:pPr>
              <w:pStyle w:val="BodyText"/>
              <w:spacing w:before="0" w:after="0"/>
              <w:jc w:val="center"/>
              <w:rPr>
                <w:rFonts w:ascii="Cambria" w:hAnsi="Cambria"/>
              </w:rPr>
            </w:pPr>
            <w:r w:rsidRPr="001F6AFC">
              <w:rPr>
                <w:rFonts w:ascii="Cambria" w:hAnsi="Cambria"/>
              </w:rPr>
              <w:t>-1.863</w:t>
            </w:r>
          </w:p>
          <w:p w14:paraId="7184266C" w14:textId="77777777" w:rsidR="001A46D7" w:rsidRDefault="001A46D7" w:rsidP="001A46D7">
            <w:pPr>
              <w:pStyle w:val="BodyText"/>
              <w:spacing w:before="0" w:after="0"/>
              <w:jc w:val="center"/>
              <w:rPr>
                <w:rFonts w:ascii="Cambria" w:hAnsi="Cambria"/>
              </w:rPr>
            </w:pPr>
            <w:r>
              <w:rPr>
                <w:rFonts w:ascii="Cambria" w:hAnsi="Cambria"/>
              </w:rPr>
              <w:t>(0.076)</w:t>
            </w:r>
          </w:p>
        </w:tc>
        <w:tc>
          <w:tcPr>
            <w:tcW w:w="1230" w:type="dxa"/>
          </w:tcPr>
          <w:p w14:paraId="75C2E981" w14:textId="77777777" w:rsidR="001A46D7" w:rsidRDefault="001A46D7" w:rsidP="001A46D7">
            <w:pPr>
              <w:pStyle w:val="BodyText"/>
              <w:spacing w:before="0" w:after="0"/>
              <w:jc w:val="center"/>
              <w:rPr>
                <w:rFonts w:ascii="Cambria" w:hAnsi="Cambria"/>
              </w:rPr>
            </w:pPr>
            <w:r>
              <w:rPr>
                <w:rFonts w:ascii="Cambria" w:hAnsi="Cambria"/>
              </w:rPr>
              <w:t>-0.075</w:t>
            </w:r>
          </w:p>
          <w:p w14:paraId="5184E5D6" w14:textId="77777777" w:rsidR="001A46D7" w:rsidRDefault="001A46D7" w:rsidP="001A46D7">
            <w:pPr>
              <w:pStyle w:val="BodyText"/>
              <w:spacing w:before="0" w:after="0"/>
              <w:jc w:val="center"/>
              <w:rPr>
                <w:rFonts w:ascii="Cambria" w:hAnsi="Cambria"/>
              </w:rPr>
            </w:pPr>
            <w:r>
              <w:rPr>
                <w:rFonts w:ascii="Cambria" w:hAnsi="Cambria"/>
              </w:rPr>
              <w:t>(0.941)</w:t>
            </w:r>
          </w:p>
        </w:tc>
        <w:tc>
          <w:tcPr>
            <w:tcW w:w="1230" w:type="dxa"/>
          </w:tcPr>
          <w:p w14:paraId="727212D6" w14:textId="77777777" w:rsidR="001A46D7" w:rsidRPr="001F6AFC" w:rsidRDefault="001A46D7" w:rsidP="001A46D7">
            <w:pPr>
              <w:pStyle w:val="BodyText"/>
              <w:spacing w:before="0" w:after="0"/>
              <w:jc w:val="center"/>
              <w:rPr>
                <w:rFonts w:ascii="Cambria" w:hAnsi="Cambria"/>
              </w:rPr>
            </w:pPr>
            <w:r w:rsidRPr="001F6AFC">
              <w:rPr>
                <w:rFonts w:ascii="Cambria" w:hAnsi="Cambria"/>
              </w:rPr>
              <w:t>-0.786</w:t>
            </w:r>
          </w:p>
          <w:p w14:paraId="1D49A29E" w14:textId="77777777" w:rsidR="001A46D7" w:rsidRDefault="001A46D7" w:rsidP="001A46D7">
            <w:pPr>
              <w:pStyle w:val="BodyText"/>
              <w:spacing w:before="0" w:after="0"/>
              <w:jc w:val="center"/>
              <w:rPr>
                <w:rFonts w:ascii="Cambria" w:hAnsi="Cambria"/>
              </w:rPr>
            </w:pPr>
            <w:r>
              <w:rPr>
                <w:rFonts w:ascii="Cambria" w:hAnsi="Cambria"/>
              </w:rPr>
              <w:t>(0.438)</w:t>
            </w:r>
          </w:p>
        </w:tc>
        <w:tc>
          <w:tcPr>
            <w:tcW w:w="1230" w:type="dxa"/>
          </w:tcPr>
          <w:p w14:paraId="2CF03914" w14:textId="77777777" w:rsidR="001A46D7" w:rsidRPr="001F6AFC" w:rsidRDefault="001A46D7" w:rsidP="001A46D7">
            <w:pPr>
              <w:pStyle w:val="BodyText"/>
              <w:spacing w:before="0" w:after="0"/>
              <w:jc w:val="center"/>
              <w:rPr>
                <w:rFonts w:ascii="Cambria" w:hAnsi="Cambria"/>
              </w:rPr>
            </w:pPr>
            <w:r w:rsidRPr="001F6AFC">
              <w:rPr>
                <w:rFonts w:ascii="Cambria" w:hAnsi="Cambria"/>
              </w:rPr>
              <w:t>-1.085</w:t>
            </w:r>
          </w:p>
          <w:p w14:paraId="16CA7827" w14:textId="77777777" w:rsidR="001A46D7" w:rsidRDefault="001A46D7" w:rsidP="001A46D7">
            <w:pPr>
              <w:pStyle w:val="BodyText"/>
              <w:spacing w:before="0" w:after="0"/>
              <w:jc w:val="center"/>
              <w:rPr>
                <w:rFonts w:ascii="Cambria" w:hAnsi="Cambria"/>
              </w:rPr>
            </w:pPr>
            <w:r>
              <w:rPr>
                <w:rFonts w:ascii="Cambria" w:hAnsi="Cambria"/>
              </w:rPr>
              <w:t>(0.288)</w:t>
            </w:r>
          </w:p>
        </w:tc>
        <w:tc>
          <w:tcPr>
            <w:tcW w:w="1230" w:type="dxa"/>
          </w:tcPr>
          <w:p w14:paraId="7070395F" w14:textId="77777777" w:rsidR="001A46D7" w:rsidRPr="001F6AFC" w:rsidRDefault="001A46D7" w:rsidP="001A4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7" w:lineRule="atLeast"/>
              <w:jc w:val="center"/>
              <w:rPr>
                <w:rFonts w:ascii="Cambria" w:hAnsi="Cambria"/>
              </w:rPr>
            </w:pPr>
            <w:r w:rsidRPr="001F6AFC">
              <w:rPr>
                <w:rFonts w:ascii="Cambria" w:hAnsi="Cambria"/>
              </w:rPr>
              <w:t>1.216</w:t>
            </w:r>
          </w:p>
          <w:p w14:paraId="1C55DD1C" w14:textId="77777777" w:rsidR="001A46D7" w:rsidRDefault="001A46D7" w:rsidP="001A46D7">
            <w:pPr>
              <w:pStyle w:val="BodyText"/>
              <w:spacing w:before="0" w:after="0"/>
              <w:jc w:val="center"/>
              <w:rPr>
                <w:rFonts w:ascii="Cambria" w:hAnsi="Cambria"/>
              </w:rPr>
            </w:pPr>
            <w:r>
              <w:rPr>
                <w:rFonts w:ascii="Cambria" w:hAnsi="Cambria"/>
              </w:rPr>
              <w:t>(0.251)</w:t>
            </w:r>
          </w:p>
        </w:tc>
        <w:tc>
          <w:tcPr>
            <w:tcW w:w="1230" w:type="dxa"/>
          </w:tcPr>
          <w:p w14:paraId="25104EB8" w14:textId="77777777" w:rsidR="001A46D7" w:rsidRDefault="001A46D7" w:rsidP="001A46D7">
            <w:pPr>
              <w:pStyle w:val="BodyText"/>
              <w:spacing w:before="0" w:after="0"/>
              <w:jc w:val="center"/>
              <w:rPr>
                <w:rFonts w:ascii="Cambria" w:hAnsi="Cambria"/>
              </w:rPr>
            </w:pPr>
            <w:r>
              <w:rPr>
                <w:rFonts w:ascii="Cambria" w:hAnsi="Cambria"/>
              </w:rPr>
              <w:t>-0.148</w:t>
            </w:r>
          </w:p>
          <w:p w14:paraId="7DA8B09F" w14:textId="77777777" w:rsidR="001A46D7" w:rsidRDefault="001A46D7" w:rsidP="001A46D7">
            <w:pPr>
              <w:pStyle w:val="BodyText"/>
              <w:spacing w:before="0" w:after="0"/>
              <w:jc w:val="center"/>
              <w:rPr>
                <w:rFonts w:ascii="Cambria" w:hAnsi="Cambria"/>
              </w:rPr>
            </w:pPr>
            <w:r>
              <w:rPr>
                <w:rFonts w:ascii="Cambria" w:hAnsi="Cambria"/>
              </w:rPr>
              <w:t>(0.886)</w:t>
            </w:r>
          </w:p>
        </w:tc>
      </w:tr>
      <w:tr w:rsidR="001A46D7" w:rsidRPr="00F418E9" w14:paraId="31FA2006" w14:textId="77777777" w:rsidTr="00620704">
        <w:tc>
          <w:tcPr>
            <w:tcW w:w="9350" w:type="dxa"/>
            <w:gridSpan w:val="7"/>
          </w:tcPr>
          <w:p w14:paraId="7257EBB3" w14:textId="77777777" w:rsidR="001A46D7" w:rsidRPr="00893BAD" w:rsidRDefault="001A46D7" w:rsidP="001A46D7">
            <w:pPr>
              <w:pStyle w:val="BodyText"/>
              <w:spacing w:before="0" w:after="0"/>
              <w:rPr>
                <w:rFonts w:ascii="Cambria" w:hAnsi="Cambria"/>
                <w:b/>
              </w:rPr>
            </w:pPr>
            <w:r w:rsidRPr="00893BAD">
              <w:rPr>
                <w:rFonts w:ascii="Cambria" w:hAnsi="Cambria"/>
                <w:b/>
              </w:rPr>
              <w:t>Massachusetts</w:t>
            </w:r>
          </w:p>
        </w:tc>
      </w:tr>
      <w:tr w:rsidR="001A46D7" w:rsidRPr="00F418E9" w14:paraId="3933ACD9" w14:textId="77777777" w:rsidTr="00620704">
        <w:tc>
          <w:tcPr>
            <w:tcW w:w="1970" w:type="dxa"/>
          </w:tcPr>
          <w:p w14:paraId="63AB5288" w14:textId="77777777" w:rsidR="001A46D7" w:rsidRPr="00F418E9" w:rsidRDefault="001A46D7" w:rsidP="001A46D7">
            <w:pPr>
              <w:pStyle w:val="BodyText"/>
              <w:spacing w:before="0" w:after="0"/>
              <w:rPr>
                <w:rFonts w:ascii="Cambria" w:hAnsi="Cambria"/>
              </w:rPr>
            </w:pPr>
            <w:r>
              <w:rPr>
                <w:rFonts w:ascii="Cambria" w:hAnsi="Cambria"/>
              </w:rPr>
              <w:t>Massachusetts (control)</w:t>
            </w:r>
          </w:p>
        </w:tc>
        <w:tc>
          <w:tcPr>
            <w:tcW w:w="1230" w:type="dxa"/>
            <w:shd w:val="clear" w:color="auto" w:fill="auto"/>
          </w:tcPr>
          <w:p w14:paraId="3E8A08C4" w14:textId="77777777" w:rsidR="001A46D7" w:rsidRPr="00893BAD" w:rsidRDefault="001A46D7" w:rsidP="001A46D7">
            <w:pPr>
              <w:pStyle w:val="BodyText"/>
              <w:spacing w:before="0" w:after="0"/>
              <w:jc w:val="center"/>
              <w:rPr>
                <w:rFonts w:ascii="Cambria" w:hAnsi="Cambria"/>
              </w:rPr>
            </w:pPr>
            <w:r w:rsidRPr="00893BAD">
              <w:rPr>
                <w:rFonts w:ascii="Cambria" w:hAnsi="Cambria"/>
              </w:rPr>
              <w:t>-1.091</w:t>
            </w:r>
          </w:p>
          <w:p w14:paraId="507F2D7B" w14:textId="77777777" w:rsidR="001A46D7" w:rsidRPr="00AC67F5" w:rsidRDefault="001A46D7" w:rsidP="001A46D7">
            <w:pPr>
              <w:pStyle w:val="BodyText"/>
              <w:spacing w:before="0" w:after="0"/>
              <w:jc w:val="center"/>
              <w:rPr>
                <w:rFonts w:ascii="Cambria" w:hAnsi="Cambria"/>
              </w:rPr>
            </w:pPr>
            <w:r w:rsidRPr="00AC67F5">
              <w:rPr>
                <w:rFonts w:ascii="Cambria" w:hAnsi="Cambria"/>
              </w:rPr>
              <w:t xml:space="preserve"> (0</w:t>
            </w:r>
            <w:r>
              <w:rPr>
                <w:rFonts w:ascii="Cambria" w:hAnsi="Cambria"/>
              </w:rPr>
              <w:t>.290</w:t>
            </w:r>
            <w:r w:rsidRPr="00AC67F5">
              <w:rPr>
                <w:rFonts w:ascii="Cambria" w:hAnsi="Cambria"/>
              </w:rPr>
              <w:t>)</w:t>
            </w:r>
          </w:p>
        </w:tc>
        <w:tc>
          <w:tcPr>
            <w:tcW w:w="1230" w:type="dxa"/>
          </w:tcPr>
          <w:p w14:paraId="3A009F33" w14:textId="77777777" w:rsidR="001A46D7" w:rsidRPr="00893BAD" w:rsidRDefault="001A46D7" w:rsidP="001A46D7">
            <w:pPr>
              <w:pStyle w:val="BodyText"/>
              <w:spacing w:before="0" w:after="0"/>
              <w:jc w:val="center"/>
              <w:rPr>
                <w:rFonts w:ascii="Cambria" w:hAnsi="Cambria"/>
              </w:rPr>
            </w:pPr>
            <w:r w:rsidRPr="00893BAD">
              <w:rPr>
                <w:rFonts w:ascii="Cambria" w:hAnsi="Cambria"/>
              </w:rPr>
              <w:t>-0.246</w:t>
            </w:r>
          </w:p>
          <w:p w14:paraId="44E8475C" w14:textId="77777777" w:rsidR="001A46D7" w:rsidRPr="00F418E9" w:rsidRDefault="001A46D7" w:rsidP="001A46D7">
            <w:pPr>
              <w:pStyle w:val="BodyText"/>
              <w:spacing w:before="0" w:after="0"/>
              <w:jc w:val="center"/>
              <w:rPr>
                <w:rFonts w:ascii="Cambria" w:hAnsi="Cambria"/>
              </w:rPr>
            </w:pPr>
            <w:r>
              <w:rPr>
                <w:rFonts w:ascii="Cambria" w:hAnsi="Cambria"/>
              </w:rPr>
              <w:t xml:space="preserve"> (0.810)</w:t>
            </w:r>
          </w:p>
        </w:tc>
        <w:tc>
          <w:tcPr>
            <w:tcW w:w="1230" w:type="dxa"/>
          </w:tcPr>
          <w:p w14:paraId="1E067A7A" w14:textId="77777777" w:rsidR="001A46D7" w:rsidRPr="00893BAD" w:rsidRDefault="001A46D7" w:rsidP="001A46D7">
            <w:pPr>
              <w:pStyle w:val="BodyText"/>
              <w:spacing w:before="0" w:after="0"/>
              <w:jc w:val="center"/>
              <w:rPr>
                <w:rFonts w:ascii="Cambria" w:hAnsi="Cambria"/>
              </w:rPr>
            </w:pPr>
            <w:r w:rsidRPr="00893BAD">
              <w:rPr>
                <w:rFonts w:ascii="Cambria" w:hAnsi="Cambria"/>
              </w:rPr>
              <w:t>0.083</w:t>
            </w:r>
          </w:p>
          <w:p w14:paraId="79955CEE" w14:textId="77777777" w:rsidR="001A46D7" w:rsidRPr="00173390" w:rsidRDefault="001A46D7" w:rsidP="001A46D7">
            <w:pPr>
              <w:pStyle w:val="BodyText"/>
              <w:spacing w:before="0" w:after="0"/>
              <w:jc w:val="center"/>
              <w:rPr>
                <w:rFonts w:ascii="Cambria" w:hAnsi="Cambria"/>
              </w:rPr>
            </w:pPr>
            <w:r>
              <w:rPr>
                <w:rFonts w:ascii="Cambria" w:hAnsi="Cambria"/>
              </w:rPr>
              <w:t xml:space="preserve"> (</w:t>
            </w:r>
            <w:r w:rsidRPr="00173390">
              <w:rPr>
                <w:rFonts w:ascii="Cambria" w:hAnsi="Cambria"/>
              </w:rPr>
              <w:t>0.</w:t>
            </w:r>
            <w:r>
              <w:rPr>
                <w:rFonts w:ascii="Cambria" w:hAnsi="Cambria"/>
              </w:rPr>
              <w:t>935)</w:t>
            </w:r>
          </w:p>
        </w:tc>
        <w:tc>
          <w:tcPr>
            <w:tcW w:w="1230" w:type="dxa"/>
          </w:tcPr>
          <w:p w14:paraId="721B02A8" w14:textId="77777777" w:rsidR="001A46D7" w:rsidRPr="00893BAD" w:rsidRDefault="001A46D7" w:rsidP="001A46D7">
            <w:pPr>
              <w:pStyle w:val="BodyText"/>
              <w:spacing w:before="0" w:after="0"/>
              <w:jc w:val="center"/>
              <w:rPr>
                <w:rFonts w:ascii="Cambria" w:hAnsi="Cambria"/>
              </w:rPr>
            </w:pPr>
            <w:r w:rsidRPr="00893BAD">
              <w:rPr>
                <w:rFonts w:ascii="Cambria" w:hAnsi="Cambria"/>
              </w:rPr>
              <w:t>0.094</w:t>
            </w:r>
          </w:p>
          <w:p w14:paraId="1141CBF6" w14:textId="77777777" w:rsidR="001A46D7" w:rsidRPr="00173390" w:rsidRDefault="001A46D7" w:rsidP="001A46D7">
            <w:pPr>
              <w:pStyle w:val="BodyText"/>
              <w:spacing w:before="0" w:after="0"/>
              <w:jc w:val="center"/>
              <w:rPr>
                <w:rFonts w:ascii="Cambria" w:hAnsi="Cambria"/>
              </w:rPr>
            </w:pPr>
            <w:r>
              <w:rPr>
                <w:rFonts w:ascii="Cambria" w:hAnsi="Cambria"/>
              </w:rPr>
              <w:t>(</w:t>
            </w:r>
            <w:r w:rsidRPr="00173390">
              <w:rPr>
                <w:rFonts w:ascii="Cambria" w:hAnsi="Cambria"/>
              </w:rPr>
              <w:t>0.9</w:t>
            </w:r>
            <w:r>
              <w:rPr>
                <w:rFonts w:ascii="Cambria" w:hAnsi="Cambria"/>
              </w:rPr>
              <w:t>2</w:t>
            </w:r>
            <w:r w:rsidRPr="00173390">
              <w:rPr>
                <w:rFonts w:ascii="Cambria" w:hAnsi="Cambria"/>
              </w:rPr>
              <w:t>7</w:t>
            </w:r>
            <w:r>
              <w:rPr>
                <w:rFonts w:ascii="Cambria" w:hAnsi="Cambria"/>
              </w:rPr>
              <w:t>)</w:t>
            </w:r>
          </w:p>
        </w:tc>
        <w:tc>
          <w:tcPr>
            <w:tcW w:w="1230" w:type="dxa"/>
            <w:shd w:val="clear" w:color="auto" w:fill="auto"/>
          </w:tcPr>
          <w:p w14:paraId="243A699F" w14:textId="77777777" w:rsidR="001A46D7" w:rsidRPr="00893BAD" w:rsidRDefault="001A46D7" w:rsidP="001A46D7">
            <w:pPr>
              <w:pStyle w:val="BodyText"/>
              <w:spacing w:before="0" w:after="0"/>
              <w:jc w:val="center"/>
              <w:rPr>
                <w:rFonts w:ascii="Cambria" w:hAnsi="Cambria"/>
              </w:rPr>
            </w:pPr>
            <w:r w:rsidRPr="00893BAD">
              <w:rPr>
                <w:rFonts w:ascii="Cambria" w:hAnsi="Cambria"/>
              </w:rPr>
              <w:t>-0.297</w:t>
            </w:r>
          </w:p>
          <w:p w14:paraId="6FF2B6A6" w14:textId="77777777" w:rsidR="001A46D7" w:rsidRPr="00F418E9" w:rsidRDefault="001A46D7" w:rsidP="001A46D7">
            <w:pPr>
              <w:pStyle w:val="BodyText"/>
              <w:spacing w:before="0" w:after="0"/>
              <w:jc w:val="center"/>
              <w:rPr>
                <w:rFonts w:ascii="Cambria" w:hAnsi="Cambria"/>
              </w:rPr>
            </w:pPr>
            <w:r>
              <w:rPr>
                <w:rFonts w:ascii="Cambria" w:hAnsi="Cambria"/>
              </w:rPr>
              <w:t xml:space="preserve"> (0.779)</w:t>
            </w:r>
          </w:p>
        </w:tc>
        <w:tc>
          <w:tcPr>
            <w:tcW w:w="1230" w:type="dxa"/>
            <w:shd w:val="clear" w:color="auto" w:fill="auto"/>
          </w:tcPr>
          <w:p w14:paraId="4D55FFDB" w14:textId="77777777" w:rsidR="001A46D7" w:rsidRPr="00893BAD" w:rsidRDefault="001A46D7" w:rsidP="001A46D7">
            <w:pPr>
              <w:pStyle w:val="BodyText"/>
              <w:spacing w:before="0" w:after="0"/>
              <w:jc w:val="center"/>
              <w:rPr>
                <w:rFonts w:ascii="Cambria" w:hAnsi="Cambria"/>
              </w:rPr>
            </w:pPr>
            <w:r w:rsidRPr="00893BAD">
              <w:rPr>
                <w:rFonts w:ascii="Cambria" w:hAnsi="Cambria"/>
              </w:rPr>
              <w:t>-0.096</w:t>
            </w:r>
          </w:p>
          <w:p w14:paraId="774550A4" w14:textId="77777777" w:rsidR="001A46D7" w:rsidRPr="00F418E9" w:rsidRDefault="001A46D7" w:rsidP="001A46D7">
            <w:pPr>
              <w:pStyle w:val="BodyText"/>
              <w:spacing w:before="0" w:after="0"/>
              <w:jc w:val="center"/>
              <w:rPr>
                <w:rFonts w:ascii="Cambria" w:hAnsi="Cambria"/>
              </w:rPr>
            </w:pPr>
            <w:r>
              <w:rPr>
                <w:rFonts w:ascii="Cambria" w:hAnsi="Cambria"/>
              </w:rPr>
              <w:t xml:space="preserve"> (0.929)</w:t>
            </w:r>
          </w:p>
        </w:tc>
      </w:tr>
    </w:tbl>
    <w:p w14:paraId="16A518CC" w14:textId="77777777" w:rsidR="001A46D7" w:rsidRPr="001A46D7" w:rsidRDefault="001A46D7" w:rsidP="001A46D7">
      <w:pPr>
        <w:pStyle w:val="BodyText"/>
      </w:pPr>
    </w:p>
    <w:p w14:paraId="645923E4" w14:textId="77777777" w:rsidR="00A61086" w:rsidRDefault="00FF17C4">
      <w:pPr>
        <w:pStyle w:val="Heading2"/>
      </w:pPr>
      <w:r>
        <w:lastRenderedPageBreak/>
        <w:t>LEHD Models</w:t>
      </w:r>
    </w:p>
    <w:p w14:paraId="4AC2D524" w14:textId="71638BF6" w:rsidR="004C3502" w:rsidRDefault="004C3502" w:rsidP="004C3502">
      <w:pPr>
        <w:pStyle w:val="Heading3"/>
        <w:numPr>
          <w:ilvl w:val="2"/>
          <w:numId w:val="6"/>
        </w:numPr>
      </w:pPr>
      <w:bookmarkStart w:id="43" w:name="virginia-avenue-2"/>
      <w:bookmarkStart w:id="44" w:name="virginia-avenue-3"/>
      <w:bookmarkEnd w:id="43"/>
      <w:bookmarkEnd w:id="44"/>
      <w:r>
        <w:t>Virginia Avenue</w:t>
      </w:r>
    </w:p>
    <w:p w14:paraId="12FD4951" w14:textId="3F0E0AC5" w:rsidR="00F93562" w:rsidRDefault="00F93562" w:rsidP="00F93562">
      <w:pPr>
        <w:pStyle w:val="BodyText"/>
      </w:pPr>
      <w:r>
        <w:rPr>
          <w:noProof/>
          <w:lang w:eastAsia="zh-TW"/>
        </w:rPr>
        <w:drawing>
          <wp:inline distT="0" distB="0" distL="0" distR="0" wp14:anchorId="302EE9E0" wp14:editId="412C5609">
            <wp:extent cx="4532232" cy="459585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920" t="4729" r="65617" b="62174"/>
                    <a:stretch/>
                  </pic:blipFill>
                  <pic:spPr bwMode="auto">
                    <a:xfrm>
                      <a:off x="0" y="0"/>
                      <a:ext cx="4540097" cy="4603830"/>
                    </a:xfrm>
                    <a:prstGeom prst="rect">
                      <a:avLst/>
                    </a:prstGeom>
                    <a:ln>
                      <a:noFill/>
                    </a:ln>
                    <a:extLst>
                      <a:ext uri="{53640926-AAD7-44D8-BBD7-CCE9431645EC}">
                        <a14:shadowObscured xmlns:a14="http://schemas.microsoft.com/office/drawing/2010/main"/>
                      </a:ext>
                    </a:extLst>
                  </pic:spPr>
                </pic:pic>
              </a:graphicData>
            </a:graphic>
          </wp:inline>
        </w:drawing>
      </w:r>
    </w:p>
    <w:p w14:paraId="18BFFCC3" w14:textId="6C4D3735" w:rsidR="00F93562" w:rsidRPr="00F93562" w:rsidRDefault="00F93562" w:rsidP="00F93562">
      <w:pPr>
        <w:pStyle w:val="BodyText"/>
      </w:pPr>
      <w:r>
        <w:rPr>
          <w:noProof/>
          <w:lang w:eastAsia="zh-TW"/>
        </w:rPr>
        <w:lastRenderedPageBreak/>
        <w:drawing>
          <wp:inline distT="0" distB="0" distL="0" distR="0" wp14:anchorId="694BE7BC" wp14:editId="1D644F85">
            <wp:extent cx="4834393" cy="3511467"/>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920" t="38021" r="65617" b="38272"/>
                    <a:stretch/>
                  </pic:blipFill>
                  <pic:spPr bwMode="auto">
                    <a:xfrm>
                      <a:off x="0" y="0"/>
                      <a:ext cx="4846706" cy="3520410"/>
                    </a:xfrm>
                    <a:prstGeom prst="rect">
                      <a:avLst/>
                    </a:prstGeom>
                    <a:ln>
                      <a:noFill/>
                    </a:ln>
                    <a:extLst>
                      <a:ext uri="{53640926-AAD7-44D8-BBD7-CCE9431645EC}">
                        <a14:shadowObscured xmlns:a14="http://schemas.microsoft.com/office/drawing/2010/main"/>
                      </a:ext>
                    </a:extLst>
                  </pic:spPr>
                </pic:pic>
              </a:graphicData>
            </a:graphic>
          </wp:inline>
        </w:drawing>
      </w:r>
    </w:p>
    <w:p w14:paraId="77354169" w14:textId="77777777" w:rsidR="004C3502" w:rsidRDefault="004C3502" w:rsidP="004C3502">
      <w:pPr>
        <w:pStyle w:val="Heading3"/>
        <w:numPr>
          <w:ilvl w:val="2"/>
          <w:numId w:val="6"/>
        </w:numPr>
      </w:pPr>
      <w:bookmarkStart w:id="45" w:name="massachusetts-avenue-1"/>
      <w:bookmarkEnd w:id="45"/>
      <w:r>
        <w:t>Massachusetts Avenue</w:t>
      </w:r>
    </w:p>
    <w:p w14:paraId="2A4814C2" w14:textId="263C46A7" w:rsidR="004C3502" w:rsidRDefault="00F93562" w:rsidP="004C3502">
      <w:pPr>
        <w:pStyle w:val="BodyText"/>
      </w:pPr>
      <w:r>
        <w:rPr>
          <w:noProof/>
          <w:lang w:eastAsia="zh-TW"/>
        </w:rPr>
        <w:drawing>
          <wp:inline distT="0" distB="0" distL="0" distR="0" wp14:anchorId="716F3A59" wp14:editId="71429671">
            <wp:extent cx="4818490" cy="3688768"/>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925" t="26022" r="66253" b="49860"/>
                    <a:stretch/>
                  </pic:blipFill>
                  <pic:spPr bwMode="auto">
                    <a:xfrm>
                      <a:off x="0" y="0"/>
                      <a:ext cx="4840422" cy="3705558"/>
                    </a:xfrm>
                    <a:prstGeom prst="rect">
                      <a:avLst/>
                    </a:prstGeom>
                    <a:ln>
                      <a:noFill/>
                    </a:ln>
                    <a:extLst>
                      <a:ext uri="{53640926-AAD7-44D8-BBD7-CCE9431645EC}">
                        <a14:shadowObscured xmlns:a14="http://schemas.microsoft.com/office/drawing/2010/main"/>
                      </a:ext>
                    </a:extLst>
                  </pic:spPr>
                </pic:pic>
              </a:graphicData>
            </a:graphic>
          </wp:inline>
        </w:drawing>
      </w:r>
    </w:p>
    <w:p w14:paraId="2A5122FB" w14:textId="77777777" w:rsidR="004C3502" w:rsidRDefault="004C3502" w:rsidP="004C3502">
      <w:pPr>
        <w:pStyle w:val="Heading2"/>
        <w:numPr>
          <w:ilvl w:val="1"/>
          <w:numId w:val="6"/>
        </w:numPr>
      </w:pPr>
      <w:bookmarkStart w:id="46" w:name="sales-tax-models"/>
      <w:bookmarkEnd w:id="46"/>
      <w:r>
        <w:lastRenderedPageBreak/>
        <w:t>Sales Tax Models</w:t>
      </w:r>
    </w:p>
    <w:p w14:paraId="05B7BC1F" w14:textId="77777777" w:rsidR="004C3502" w:rsidRDefault="004C3502" w:rsidP="004C3502">
      <w:pPr>
        <w:pStyle w:val="Heading3"/>
        <w:numPr>
          <w:ilvl w:val="2"/>
          <w:numId w:val="6"/>
        </w:numPr>
      </w:pPr>
      <w:bookmarkStart w:id="47" w:name="virginia-and-massachusetts-avenue"/>
      <w:bookmarkEnd w:id="47"/>
      <w:r>
        <w:t>Virginia and Massachusetts Avenue</w:t>
      </w:r>
    </w:p>
    <w:p w14:paraId="465AE0AD" w14:textId="36302E3A" w:rsidR="004C3502" w:rsidRDefault="00F93562" w:rsidP="004C3502">
      <w:pPr>
        <w:pStyle w:val="BodyText"/>
      </w:pPr>
      <w:r>
        <w:rPr>
          <w:noProof/>
          <w:lang w:eastAsia="zh-TW"/>
        </w:rPr>
        <w:drawing>
          <wp:inline distT="0" distB="0" distL="0" distR="0" wp14:anchorId="716A43D4" wp14:editId="3742AA5D">
            <wp:extent cx="3737113" cy="73533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122" t="4966" r="69498" b="41540"/>
                    <a:stretch/>
                  </pic:blipFill>
                  <pic:spPr bwMode="auto">
                    <a:xfrm>
                      <a:off x="0" y="0"/>
                      <a:ext cx="3752339" cy="7383358"/>
                    </a:xfrm>
                    <a:prstGeom prst="rect">
                      <a:avLst/>
                    </a:prstGeom>
                    <a:ln>
                      <a:noFill/>
                    </a:ln>
                    <a:extLst>
                      <a:ext uri="{53640926-AAD7-44D8-BBD7-CCE9431645EC}">
                        <a14:shadowObscured xmlns:a14="http://schemas.microsoft.com/office/drawing/2010/main"/>
                      </a:ext>
                    </a:extLst>
                  </pic:spPr>
                </pic:pic>
              </a:graphicData>
            </a:graphic>
          </wp:inline>
        </w:drawing>
      </w:r>
    </w:p>
    <w:p w14:paraId="276A24BE" w14:textId="77777777" w:rsidR="004C3502" w:rsidRDefault="004C3502" w:rsidP="004C3502">
      <w:pPr>
        <w:pStyle w:val="Heading2"/>
        <w:numPr>
          <w:ilvl w:val="1"/>
          <w:numId w:val="6"/>
        </w:numPr>
      </w:pPr>
      <w:bookmarkStart w:id="48" w:name="qcew-models"/>
      <w:bookmarkEnd w:id="48"/>
      <w:r>
        <w:lastRenderedPageBreak/>
        <w:t>QCEW Models</w:t>
      </w:r>
    </w:p>
    <w:p w14:paraId="2E1042F9" w14:textId="52AECA80" w:rsidR="004C3502" w:rsidRDefault="004C3502" w:rsidP="004C3502">
      <w:pPr>
        <w:pStyle w:val="Heading3"/>
        <w:numPr>
          <w:ilvl w:val="2"/>
          <w:numId w:val="6"/>
        </w:numPr>
      </w:pPr>
      <w:r>
        <w:t>Virginia Avenue</w:t>
      </w:r>
    </w:p>
    <w:p w14:paraId="169B7B5A" w14:textId="2552A6CD" w:rsidR="00F93562" w:rsidRPr="00F93562" w:rsidRDefault="00F93562" w:rsidP="00F93562">
      <w:pPr>
        <w:pStyle w:val="BodyText"/>
      </w:pPr>
      <w:r>
        <w:rPr>
          <w:noProof/>
          <w:lang w:eastAsia="zh-TW"/>
        </w:rPr>
        <w:drawing>
          <wp:inline distT="0" distB="0" distL="0" distR="0" wp14:anchorId="6ED5D8D1" wp14:editId="3D9A1512">
            <wp:extent cx="4397071" cy="705065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521" t="8006" r="66020" b="39673"/>
                    <a:stretch/>
                  </pic:blipFill>
                  <pic:spPr bwMode="auto">
                    <a:xfrm>
                      <a:off x="0" y="0"/>
                      <a:ext cx="4409501" cy="7070587"/>
                    </a:xfrm>
                    <a:prstGeom prst="rect">
                      <a:avLst/>
                    </a:prstGeom>
                    <a:ln>
                      <a:noFill/>
                    </a:ln>
                    <a:extLst>
                      <a:ext uri="{53640926-AAD7-44D8-BBD7-CCE9431645EC}">
                        <a14:shadowObscured xmlns:a14="http://schemas.microsoft.com/office/drawing/2010/main"/>
                      </a:ext>
                    </a:extLst>
                  </pic:spPr>
                </pic:pic>
              </a:graphicData>
            </a:graphic>
          </wp:inline>
        </w:drawing>
      </w:r>
    </w:p>
    <w:sectPr w:rsidR="00F93562" w:rsidRPr="00F93562">
      <w:headerReference w:type="default" r:id="rId26"/>
      <w:footerReference w:type="defaul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3A5E4" w14:textId="77777777" w:rsidR="00FC2B9A" w:rsidRDefault="00FC2B9A">
      <w:pPr>
        <w:spacing w:after="0"/>
      </w:pPr>
      <w:r>
        <w:separator/>
      </w:r>
    </w:p>
  </w:endnote>
  <w:endnote w:type="continuationSeparator" w:id="0">
    <w:p w14:paraId="40596F94" w14:textId="77777777" w:rsidR="00FC2B9A" w:rsidRDefault="00FC2B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mp;quo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6006"/>
      <w:docPartObj>
        <w:docPartGallery w:val="Page Numbers (Bottom of Page)"/>
        <w:docPartUnique/>
      </w:docPartObj>
    </w:sdtPr>
    <w:sdtEndPr>
      <w:rPr>
        <w:noProof/>
      </w:rPr>
    </w:sdtEndPr>
    <w:sdtContent>
      <w:p w14:paraId="5DB8F13A" w14:textId="555B199A" w:rsidR="00224854" w:rsidRDefault="00224854">
        <w:pPr>
          <w:pStyle w:val="Footer"/>
          <w:jc w:val="right"/>
        </w:pPr>
        <w:r>
          <w:rPr>
            <w:noProof/>
            <w:lang w:eastAsia="zh-TW"/>
          </w:rPr>
          <mc:AlternateContent>
            <mc:Choice Requires="wps">
              <w:drawing>
                <wp:anchor distT="0" distB="0" distL="114300" distR="114300" simplePos="0" relativeHeight="251659264" behindDoc="0" locked="0" layoutInCell="1" allowOverlap="1" wp14:anchorId="42FC4456" wp14:editId="62D65E7F">
                  <wp:simplePos x="0" y="0"/>
                  <wp:positionH relativeFrom="column">
                    <wp:posOffset>-7951</wp:posOffset>
                  </wp:positionH>
                  <wp:positionV relativeFrom="paragraph">
                    <wp:posOffset>-20182</wp:posOffset>
                  </wp:positionV>
                  <wp:extent cx="5963478" cy="7951"/>
                  <wp:effectExtent l="0" t="0" r="37465" b="30480"/>
                  <wp:wrapNone/>
                  <wp:docPr id="33" name="Straight Connector 33"/>
                  <wp:cNvGraphicFramePr/>
                  <a:graphic xmlns:a="http://schemas.openxmlformats.org/drawingml/2006/main">
                    <a:graphicData uri="http://schemas.microsoft.com/office/word/2010/wordprocessingShape">
                      <wps:wsp>
                        <wps:cNvCnPr/>
                        <wps:spPr>
                          <a:xfrm>
                            <a:off x="0" y="0"/>
                            <a:ext cx="5963478" cy="7951"/>
                          </a:xfrm>
                          <a:prstGeom prst="line">
                            <a:avLst/>
                          </a:prstGeom>
                          <a:ln w="6350">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A796EE1" id="Straight Connector 3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pt,-1.6pt" to="468.9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" strokecolor="#a5a5a5 [2092]" strokeweight=".5pt"/>
              </w:pict>
            </mc:Fallback>
          </mc:AlternateContent>
        </w:r>
        <w:r>
          <w:t>[National Street Improvements Study - Indianapolis]</w:t>
        </w:r>
        <w:r>
          <w:tab/>
          <w:t xml:space="preserve">Page </w:t>
        </w:r>
        <w:r>
          <w:fldChar w:fldCharType="begin"/>
        </w:r>
        <w:r>
          <w:instrText xml:space="preserve"> PAGE   \* MERGEFORMAT </w:instrText>
        </w:r>
        <w:r>
          <w:fldChar w:fldCharType="separate"/>
        </w:r>
        <w:r w:rsidR="001A46D7">
          <w:rPr>
            <w:noProof/>
          </w:rPr>
          <w:t>28</w:t>
        </w:r>
        <w:r>
          <w:rPr>
            <w:noProof/>
          </w:rPr>
          <w:fldChar w:fldCharType="end"/>
        </w:r>
      </w:p>
    </w:sdtContent>
  </w:sdt>
  <w:p w14:paraId="1B0B2F70" w14:textId="77777777" w:rsidR="00224854" w:rsidRDefault="002248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8D8AF" w14:textId="77777777" w:rsidR="00FC2B9A" w:rsidRDefault="00FC2B9A">
      <w:r>
        <w:separator/>
      </w:r>
    </w:p>
  </w:footnote>
  <w:footnote w:type="continuationSeparator" w:id="0">
    <w:p w14:paraId="565B7267" w14:textId="77777777" w:rsidR="00FC2B9A" w:rsidRDefault="00FC2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C9027" w14:textId="118AB2A8" w:rsidR="00224854" w:rsidRDefault="00224854">
    <w:pPr>
      <w:pStyle w:val="Header"/>
    </w:pPr>
    <w:r>
      <w:rPr>
        <w:noProof/>
        <w:lang w:eastAsia="zh-TW"/>
      </w:rPr>
      <mc:AlternateContent>
        <mc:Choice Requires="wps">
          <w:drawing>
            <wp:anchor distT="0" distB="0" distL="114300" distR="114300" simplePos="0" relativeHeight="251659776" behindDoc="0" locked="0" layoutInCell="1" allowOverlap="1" wp14:anchorId="34B81AD2" wp14:editId="15E9BCCA">
              <wp:simplePos x="0" y="0"/>
              <wp:positionH relativeFrom="column">
                <wp:posOffset>-7952</wp:posOffset>
              </wp:positionH>
              <wp:positionV relativeFrom="paragraph">
                <wp:posOffset>186856</wp:posOffset>
              </wp:positionV>
              <wp:extent cx="5963285" cy="15902"/>
              <wp:effectExtent l="0" t="0" r="37465" b="22225"/>
              <wp:wrapNone/>
              <wp:docPr id="34" name="Straight Connector 34"/>
              <wp:cNvGraphicFramePr/>
              <a:graphic xmlns:a="http://schemas.openxmlformats.org/drawingml/2006/main">
                <a:graphicData uri="http://schemas.microsoft.com/office/word/2010/wordprocessingShape">
                  <wps:wsp>
                    <wps:cNvCnPr/>
                    <wps:spPr>
                      <a:xfrm flipV="1">
                        <a:off x="0" y="0"/>
                        <a:ext cx="5963285" cy="15902"/>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AE0BF2" id="Straight Connector 34" o:spid="_x0000_s1026" style="position:absolute;flip:y;z-index:251659776;visibility:visible;mso-wrap-style:square;mso-wrap-distance-left:9pt;mso-wrap-distance-top:0;mso-wrap-distance-right:9pt;mso-wrap-distance-bottom:0;mso-position-horizontal:absolute;mso-position-horizontal-relative:text;mso-position-vertical:absolute;mso-position-vertical-relative:text" from="-.65pt,14.7pt" to="468.9pt,1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" strokecolor="#bfbfbf [2412]" strokeweight=".5pt"/>
          </w:pict>
        </mc:Fallback>
      </mc:AlternateContent>
    </w:r>
    <w:r>
      <w:t>Liu, Shi &amp; Green</w:t>
    </w:r>
    <w:r>
      <w:ptab w:relativeTo="margin" w:alignment="center" w:leader="none"/>
    </w:r>
    <w:r>
      <w:ptab w:relativeTo="margin" w:alignment="right" w:leader="none"/>
    </w:r>
    <w:r>
      <w:t>ver. 05.20.2019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4307369"/>
    <w:multiLevelType w:val="multilevel"/>
    <w:tmpl w:val="5D0028D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75FEF73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CCCBAC4"/>
    <w:multiLevelType w:val="multilevel"/>
    <w:tmpl w:val="55D2EE0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27030CB"/>
    <w:multiLevelType w:val="multilevel"/>
    <w:tmpl w:val="4378B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BF7EAF"/>
    <w:multiLevelType w:val="multilevel"/>
    <w:tmpl w:val="BD66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4519B2"/>
    <w:multiLevelType w:val="hybridMultilevel"/>
    <w:tmpl w:val="F56CB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874E5"/>
    <w:multiLevelType w:val="multilevel"/>
    <w:tmpl w:val="A0D8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62555"/>
    <w:multiLevelType w:val="multilevel"/>
    <w:tmpl w:val="DEB8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DD2CB8"/>
    <w:multiLevelType w:val="hybridMultilevel"/>
    <w:tmpl w:val="9684B242"/>
    <w:lvl w:ilvl="0" w:tplc="C4D478B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AF0084"/>
    <w:multiLevelType w:val="multilevel"/>
    <w:tmpl w:val="1084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936F81"/>
    <w:multiLevelType w:val="multilevel"/>
    <w:tmpl w:val="CB38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3E3495"/>
    <w:multiLevelType w:val="multilevel"/>
    <w:tmpl w:val="EEA4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865E8C"/>
    <w:multiLevelType w:val="multilevel"/>
    <w:tmpl w:val="EF96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6303A"/>
    <w:multiLevelType w:val="multilevel"/>
    <w:tmpl w:val="CFA68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E767D5"/>
    <w:multiLevelType w:val="hybridMultilevel"/>
    <w:tmpl w:val="493A9286"/>
    <w:lvl w:ilvl="0" w:tplc="C4D478B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825623"/>
    <w:multiLevelType w:val="multilevel"/>
    <w:tmpl w:val="A65A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D50CF6"/>
    <w:multiLevelType w:val="multilevel"/>
    <w:tmpl w:val="BF14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1D0C49"/>
    <w:multiLevelType w:val="multilevel"/>
    <w:tmpl w:val="0ACA3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C946DB"/>
    <w:multiLevelType w:val="multilevel"/>
    <w:tmpl w:val="F09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D14D53"/>
    <w:multiLevelType w:val="multilevel"/>
    <w:tmpl w:val="3C0A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2EEDFD"/>
    <w:multiLevelType w:val="multilevel"/>
    <w:tmpl w:val="58424B0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1" w15:restartNumberingAfterBreak="0">
    <w:nsid w:val="44815C6C"/>
    <w:multiLevelType w:val="multilevel"/>
    <w:tmpl w:val="C076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C6579F"/>
    <w:multiLevelType w:val="multilevel"/>
    <w:tmpl w:val="7D52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AB2D01"/>
    <w:multiLevelType w:val="hybridMultilevel"/>
    <w:tmpl w:val="90FC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D8503E"/>
    <w:multiLevelType w:val="multilevel"/>
    <w:tmpl w:val="67A2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A355E8"/>
    <w:multiLevelType w:val="multilevel"/>
    <w:tmpl w:val="E5CC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1018EA"/>
    <w:multiLevelType w:val="multilevel"/>
    <w:tmpl w:val="DA9C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1F43B6"/>
    <w:multiLevelType w:val="multilevel"/>
    <w:tmpl w:val="9DAA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F32FC7"/>
    <w:multiLevelType w:val="multilevel"/>
    <w:tmpl w:val="A4B2DF8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pStyle w:val="Heading3"/>
      <w:lvlText w:val="%1.%2.%3"/>
      <w:lvlJc w:val="left"/>
      <w:pPr>
        <w:ind w:left="360" w:hanging="360"/>
      </w:pPr>
      <w:rPr>
        <w:rFonts w:hint="default"/>
      </w:rPr>
    </w:lvl>
    <w:lvl w:ilvl="3">
      <w:start w:val="1"/>
      <w:numFmt w:val="none"/>
      <w:pStyle w:val="Heading4"/>
      <w:lvlText w:val="%1.%2.%3.1"/>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29" w15:restartNumberingAfterBreak="0">
    <w:nsid w:val="6CA36ADA"/>
    <w:multiLevelType w:val="multilevel"/>
    <w:tmpl w:val="EC1EC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1E10BB"/>
    <w:multiLevelType w:val="multilevel"/>
    <w:tmpl w:val="FF88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3F7832"/>
    <w:multiLevelType w:val="multilevel"/>
    <w:tmpl w:val="DD64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EB4ADC"/>
    <w:multiLevelType w:val="multilevel"/>
    <w:tmpl w:val="17BCE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28"/>
  </w:num>
  <w:num w:numId="4">
    <w:abstractNumId w:val="20"/>
  </w:num>
  <w:num w:numId="5">
    <w:abstractNumId w:val="0"/>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19"/>
  </w:num>
  <w:num w:numId="9">
    <w:abstractNumId w:val="22"/>
  </w:num>
  <w:num w:numId="10">
    <w:abstractNumId w:val="12"/>
  </w:num>
  <w:num w:numId="11">
    <w:abstractNumId w:val="21"/>
  </w:num>
  <w:num w:numId="12">
    <w:abstractNumId w:val="18"/>
  </w:num>
  <w:num w:numId="13">
    <w:abstractNumId w:val="15"/>
  </w:num>
  <w:num w:numId="14">
    <w:abstractNumId w:val="10"/>
  </w:num>
  <w:num w:numId="15">
    <w:abstractNumId w:val="25"/>
  </w:num>
  <w:num w:numId="16">
    <w:abstractNumId w:val="7"/>
  </w:num>
  <w:num w:numId="17">
    <w:abstractNumId w:val="27"/>
  </w:num>
  <w:num w:numId="18">
    <w:abstractNumId w:val="32"/>
  </w:num>
  <w:num w:numId="19">
    <w:abstractNumId w:val="13"/>
  </w:num>
  <w:num w:numId="20">
    <w:abstractNumId w:val="3"/>
  </w:num>
  <w:num w:numId="21">
    <w:abstractNumId w:val="9"/>
  </w:num>
  <w:num w:numId="22">
    <w:abstractNumId w:val="11"/>
  </w:num>
  <w:num w:numId="23">
    <w:abstractNumId w:val="30"/>
  </w:num>
  <w:num w:numId="24">
    <w:abstractNumId w:val="24"/>
  </w:num>
  <w:num w:numId="25">
    <w:abstractNumId w:val="16"/>
  </w:num>
  <w:num w:numId="26">
    <w:abstractNumId w:val="31"/>
  </w:num>
  <w:num w:numId="27">
    <w:abstractNumId w:val="6"/>
  </w:num>
  <w:num w:numId="28">
    <w:abstractNumId w:val="26"/>
  </w:num>
  <w:num w:numId="29">
    <w:abstractNumId w:val="4"/>
  </w:num>
  <w:num w:numId="30">
    <w:abstractNumId w:val="17"/>
  </w:num>
  <w:num w:numId="31">
    <w:abstractNumId w:val="5"/>
  </w:num>
  <w:num w:numId="32">
    <w:abstractNumId w:val="23"/>
  </w:num>
  <w:num w:numId="33">
    <w:abstractNumId w:val="8"/>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43626"/>
    <w:rsid w:val="00055E16"/>
    <w:rsid w:val="000942BF"/>
    <w:rsid w:val="001020E3"/>
    <w:rsid w:val="00105906"/>
    <w:rsid w:val="001171D1"/>
    <w:rsid w:val="00130059"/>
    <w:rsid w:val="001671B0"/>
    <w:rsid w:val="001735FF"/>
    <w:rsid w:val="001A14B3"/>
    <w:rsid w:val="001A46D7"/>
    <w:rsid w:val="001B1630"/>
    <w:rsid w:val="001B4C33"/>
    <w:rsid w:val="001B54BB"/>
    <w:rsid w:val="001B60F0"/>
    <w:rsid w:val="001C73B5"/>
    <w:rsid w:val="001D273F"/>
    <w:rsid w:val="001E6021"/>
    <w:rsid w:val="002035A2"/>
    <w:rsid w:val="00224854"/>
    <w:rsid w:val="00246CD7"/>
    <w:rsid w:val="00250CE4"/>
    <w:rsid w:val="0025272A"/>
    <w:rsid w:val="002B3C96"/>
    <w:rsid w:val="002B4B56"/>
    <w:rsid w:val="002E5BB8"/>
    <w:rsid w:val="003469C2"/>
    <w:rsid w:val="003B4DA5"/>
    <w:rsid w:val="003E57AE"/>
    <w:rsid w:val="003F2538"/>
    <w:rsid w:val="00404744"/>
    <w:rsid w:val="00413A6D"/>
    <w:rsid w:val="00426653"/>
    <w:rsid w:val="00436C9B"/>
    <w:rsid w:val="00444F01"/>
    <w:rsid w:val="00487301"/>
    <w:rsid w:val="004B03C2"/>
    <w:rsid w:val="004C32C9"/>
    <w:rsid w:val="004C3502"/>
    <w:rsid w:val="004D5237"/>
    <w:rsid w:val="004E29B3"/>
    <w:rsid w:val="00515888"/>
    <w:rsid w:val="005256E7"/>
    <w:rsid w:val="00525E7E"/>
    <w:rsid w:val="005269CD"/>
    <w:rsid w:val="00531931"/>
    <w:rsid w:val="00541362"/>
    <w:rsid w:val="00542E61"/>
    <w:rsid w:val="005615AA"/>
    <w:rsid w:val="00561D51"/>
    <w:rsid w:val="00574D54"/>
    <w:rsid w:val="00590D07"/>
    <w:rsid w:val="005E6D7F"/>
    <w:rsid w:val="006526FA"/>
    <w:rsid w:val="0068333D"/>
    <w:rsid w:val="00686B78"/>
    <w:rsid w:val="006A5BC3"/>
    <w:rsid w:val="006D0D69"/>
    <w:rsid w:val="00700D76"/>
    <w:rsid w:val="007349E0"/>
    <w:rsid w:val="00751D53"/>
    <w:rsid w:val="007764ED"/>
    <w:rsid w:val="0078191F"/>
    <w:rsid w:val="00784D58"/>
    <w:rsid w:val="00801DEC"/>
    <w:rsid w:val="008030FA"/>
    <w:rsid w:val="00807A60"/>
    <w:rsid w:val="00843DF7"/>
    <w:rsid w:val="00861B65"/>
    <w:rsid w:val="008843A8"/>
    <w:rsid w:val="00886917"/>
    <w:rsid w:val="008A0466"/>
    <w:rsid w:val="008A2BAF"/>
    <w:rsid w:val="008B0815"/>
    <w:rsid w:val="008B22C2"/>
    <w:rsid w:val="008C2909"/>
    <w:rsid w:val="008D0A86"/>
    <w:rsid w:val="008D6863"/>
    <w:rsid w:val="008E0540"/>
    <w:rsid w:val="008F6BB9"/>
    <w:rsid w:val="008F6FE3"/>
    <w:rsid w:val="0090595F"/>
    <w:rsid w:val="009412D6"/>
    <w:rsid w:val="00942730"/>
    <w:rsid w:val="0096499E"/>
    <w:rsid w:val="00993607"/>
    <w:rsid w:val="009B3F0E"/>
    <w:rsid w:val="00A07EC4"/>
    <w:rsid w:val="00A245AB"/>
    <w:rsid w:val="00A43D13"/>
    <w:rsid w:val="00A601D8"/>
    <w:rsid w:val="00A61086"/>
    <w:rsid w:val="00A64A78"/>
    <w:rsid w:val="00A66F6A"/>
    <w:rsid w:val="00A8269B"/>
    <w:rsid w:val="00A84BA4"/>
    <w:rsid w:val="00A86667"/>
    <w:rsid w:val="00AA4FD1"/>
    <w:rsid w:val="00AB47DB"/>
    <w:rsid w:val="00AD0899"/>
    <w:rsid w:val="00B02AB2"/>
    <w:rsid w:val="00B03D43"/>
    <w:rsid w:val="00B83F4C"/>
    <w:rsid w:val="00B86B75"/>
    <w:rsid w:val="00B911D0"/>
    <w:rsid w:val="00B93AE7"/>
    <w:rsid w:val="00BA78BA"/>
    <w:rsid w:val="00BB5F3B"/>
    <w:rsid w:val="00BC48D5"/>
    <w:rsid w:val="00BD408F"/>
    <w:rsid w:val="00C123C7"/>
    <w:rsid w:val="00C147C2"/>
    <w:rsid w:val="00C165AF"/>
    <w:rsid w:val="00C33CAB"/>
    <w:rsid w:val="00C36279"/>
    <w:rsid w:val="00C375C8"/>
    <w:rsid w:val="00C623CB"/>
    <w:rsid w:val="00C91A64"/>
    <w:rsid w:val="00CA54D1"/>
    <w:rsid w:val="00CD0E97"/>
    <w:rsid w:val="00CE5934"/>
    <w:rsid w:val="00CE6D00"/>
    <w:rsid w:val="00CF7F32"/>
    <w:rsid w:val="00D211FF"/>
    <w:rsid w:val="00D5329C"/>
    <w:rsid w:val="00D6525C"/>
    <w:rsid w:val="00D75C59"/>
    <w:rsid w:val="00DB7F51"/>
    <w:rsid w:val="00DC3D23"/>
    <w:rsid w:val="00DC7DF3"/>
    <w:rsid w:val="00DF7C53"/>
    <w:rsid w:val="00E1162C"/>
    <w:rsid w:val="00E315A3"/>
    <w:rsid w:val="00E47015"/>
    <w:rsid w:val="00E50B90"/>
    <w:rsid w:val="00E57DF2"/>
    <w:rsid w:val="00E63044"/>
    <w:rsid w:val="00EA5102"/>
    <w:rsid w:val="00EA6B61"/>
    <w:rsid w:val="00EA7806"/>
    <w:rsid w:val="00EB58C1"/>
    <w:rsid w:val="00EE4C23"/>
    <w:rsid w:val="00F01CB9"/>
    <w:rsid w:val="00F11283"/>
    <w:rsid w:val="00F13912"/>
    <w:rsid w:val="00F14DA5"/>
    <w:rsid w:val="00F3506E"/>
    <w:rsid w:val="00F409E5"/>
    <w:rsid w:val="00F419BF"/>
    <w:rsid w:val="00F41A69"/>
    <w:rsid w:val="00F93562"/>
    <w:rsid w:val="00FC2046"/>
    <w:rsid w:val="00FC2B9A"/>
    <w:rsid w:val="00FC2E32"/>
    <w:rsid w:val="00FF17C4"/>
    <w:rsid w:val="00FF517F"/>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A861EE"/>
  <w15:docId w15:val="{DE3B62FC-A593-4024-BFED-4D8108B7D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1" w:uiPriority="9" w:qFormat="1"/>
    <w:lsdException w:name="heading 2" w:uiPriority="9" w:qFormat="1"/>
    <w:lsdException w:name="heading 3" w:uiPriority="9" w:qFormat="1"/>
    <w:lsdException w:name="heading 4"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pPr>
      <w:keepNext/>
      <w:keepLines/>
      <w:numPr>
        <w:numId w:val="3"/>
      </w:numPr>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link w:val="Heading2Char"/>
    <w:uiPriority w:val="9"/>
    <w:unhideWhenUsed/>
    <w:qFormat/>
    <w:pPr>
      <w:keepNext/>
      <w:keepLines/>
      <w:numPr>
        <w:ilvl w:val="1"/>
        <w:numId w:val="3"/>
      </w:numPr>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link w:val="Heading3Char"/>
    <w:uiPriority w:val="9"/>
    <w:unhideWhenUsed/>
    <w:qFormat/>
    <w:pPr>
      <w:keepNext/>
      <w:keepLines/>
      <w:numPr>
        <w:ilvl w:val="2"/>
        <w:numId w:val="3"/>
      </w:numPr>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numPr>
        <w:ilvl w:val="3"/>
        <w:numId w:val="3"/>
      </w:numPr>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pPr>
      <w:spacing w:after="0"/>
      <w:ind w:left="720" w:hanging="720"/>
    </w:pPr>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numPr>
        <w:numId w:val="0"/>
      </w:num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unhideWhenUsed/>
    <w:rsid w:val="000833FC"/>
    <w:pPr>
      <w:tabs>
        <w:tab w:val="center" w:pos="4680"/>
        <w:tab w:val="right" w:pos="9360"/>
      </w:tabs>
      <w:spacing w:after="0"/>
    </w:pPr>
  </w:style>
  <w:style w:type="character" w:customStyle="1" w:styleId="HeaderChar">
    <w:name w:val="Header Char"/>
    <w:basedOn w:val="DefaultParagraphFont"/>
    <w:link w:val="Header"/>
    <w:rsid w:val="000833FC"/>
  </w:style>
  <w:style w:type="paragraph" w:styleId="Footer">
    <w:name w:val="footer"/>
    <w:basedOn w:val="Normal"/>
    <w:link w:val="FooterChar"/>
    <w:uiPriority w:val="99"/>
    <w:unhideWhenUsed/>
    <w:rsid w:val="000833FC"/>
    <w:pPr>
      <w:tabs>
        <w:tab w:val="center" w:pos="4680"/>
        <w:tab w:val="right" w:pos="9360"/>
      </w:tabs>
      <w:spacing w:after="0"/>
    </w:pPr>
  </w:style>
  <w:style w:type="character" w:customStyle="1" w:styleId="FooterChar">
    <w:name w:val="Footer Char"/>
    <w:basedOn w:val="DefaultParagraphFont"/>
    <w:link w:val="Footer"/>
    <w:uiPriority w:val="99"/>
    <w:rsid w:val="000833FC"/>
  </w:style>
  <w:style w:type="character" w:customStyle="1" w:styleId="Heading2Char">
    <w:name w:val="Heading 2 Char"/>
    <w:basedOn w:val="DefaultParagraphFont"/>
    <w:link w:val="Heading2"/>
    <w:uiPriority w:val="9"/>
    <w:rsid w:val="004C3502"/>
    <w:rPr>
      <w:rFonts w:asciiTheme="majorHAnsi" w:eastAsiaTheme="majorEastAsia" w:hAnsiTheme="majorHAnsi" w:cstheme="majorBidi"/>
      <w:b/>
      <w:bCs/>
      <w:color w:val="4F81BD" w:themeColor="accent1"/>
      <w:sz w:val="32"/>
      <w:szCs w:val="32"/>
    </w:rPr>
  </w:style>
  <w:style w:type="character" w:customStyle="1" w:styleId="Heading3Char">
    <w:name w:val="Heading 3 Char"/>
    <w:basedOn w:val="DefaultParagraphFont"/>
    <w:link w:val="Heading3"/>
    <w:uiPriority w:val="9"/>
    <w:rsid w:val="004C3502"/>
    <w:rPr>
      <w:rFonts w:asciiTheme="majorHAnsi" w:eastAsiaTheme="majorEastAsia" w:hAnsiTheme="majorHAnsi" w:cstheme="majorBidi"/>
      <w:b/>
      <w:bCs/>
      <w:color w:val="4F81BD" w:themeColor="accent1"/>
      <w:sz w:val="28"/>
      <w:szCs w:val="28"/>
    </w:rPr>
  </w:style>
  <w:style w:type="character" w:customStyle="1" w:styleId="BodyTextChar">
    <w:name w:val="Body Text Char"/>
    <w:basedOn w:val="DefaultParagraphFont"/>
    <w:link w:val="BodyText"/>
    <w:rsid w:val="004C3502"/>
  </w:style>
  <w:style w:type="character" w:styleId="Strong">
    <w:name w:val="Strong"/>
    <w:basedOn w:val="DefaultParagraphFont"/>
    <w:uiPriority w:val="22"/>
    <w:qFormat/>
    <w:rsid w:val="00F13912"/>
    <w:rPr>
      <w:b/>
      <w:bCs/>
    </w:rPr>
  </w:style>
  <w:style w:type="paragraph" w:styleId="BalloonText">
    <w:name w:val="Balloon Text"/>
    <w:basedOn w:val="Normal"/>
    <w:link w:val="BalloonTextChar"/>
    <w:semiHidden/>
    <w:unhideWhenUsed/>
    <w:rsid w:val="00F13912"/>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13912"/>
    <w:rPr>
      <w:rFonts w:ascii="Segoe UI" w:hAnsi="Segoe UI" w:cs="Segoe UI"/>
      <w:sz w:val="18"/>
      <w:szCs w:val="18"/>
    </w:rPr>
  </w:style>
  <w:style w:type="character" w:customStyle="1" w:styleId="Heading1Char">
    <w:name w:val="Heading 1 Char"/>
    <w:basedOn w:val="DefaultParagraphFont"/>
    <w:link w:val="Heading1"/>
    <w:uiPriority w:val="9"/>
    <w:rsid w:val="00F13912"/>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F41A69"/>
    <w:pPr>
      <w:spacing w:after="160" w:line="259" w:lineRule="auto"/>
      <w:ind w:left="720"/>
      <w:contextualSpacing/>
    </w:pPr>
    <w:rPr>
      <w:rFonts w:eastAsiaTheme="minorEastAsia"/>
      <w:sz w:val="22"/>
      <w:szCs w:val="22"/>
      <w:lang w:eastAsia="zh-CN"/>
    </w:rPr>
  </w:style>
  <w:style w:type="character" w:customStyle="1" w:styleId="TitleChar">
    <w:name w:val="Title Char"/>
    <w:basedOn w:val="DefaultParagraphFont"/>
    <w:link w:val="Title"/>
    <w:uiPriority w:val="10"/>
    <w:rsid w:val="00F41A69"/>
    <w:rPr>
      <w:rFonts w:asciiTheme="majorHAnsi" w:eastAsiaTheme="majorEastAsia" w:hAnsiTheme="majorHAnsi" w:cstheme="majorBidi"/>
      <w:b/>
      <w:bCs/>
      <w:color w:val="345A8A" w:themeColor="accent1" w:themeShade="B5"/>
      <w:sz w:val="36"/>
      <w:szCs w:val="36"/>
    </w:rPr>
  </w:style>
  <w:style w:type="table" w:styleId="TableGrid">
    <w:name w:val="Table Grid"/>
    <w:basedOn w:val="TableNormal"/>
    <w:uiPriority w:val="39"/>
    <w:rsid w:val="00F14DA5"/>
    <w:pPr>
      <w:spacing w:after="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68333D"/>
    <w:rPr>
      <w:sz w:val="16"/>
      <w:szCs w:val="16"/>
    </w:rPr>
  </w:style>
  <w:style w:type="paragraph" w:styleId="CommentText">
    <w:name w:val="annotation text"/>
    <w:basedOn w:val="Normal"/>
    <w:link w:val="CommentTextChar"/>
    <w:semiHidden/>
    <w:unhideWhenUsed/>
    <w:rsid w:val="0068333D"/>
    <w:rPr>
      <w:rFonts w:eastAsia="SimSun"/>
      <w:sz w:val="20"/>
      <w:szCs w:val="20"/>
    </w:rPr>
  </w:style>
  <w:style w:type="character" w:customStyle="1" w:styleId="CommentTextChar">
    <w:name w:val="Comment Text Char"/>
    <w:basedOn w:val="DefaultParagraphFont"/>
    <w:link w:val="CommentText"/>
    <w:semiHidden/>
    <w:rsid w:val="0068333D"/>
    <w:rPr>
      <w:rFonts w:eastAsia="SimSun"/>
      <w:sz w:val="20"/>
      <w:szCs w:val="20"/>
    </w:rPr>
  </w:style>
  <w:style w:type="paragraph" w:styleId="CommentSubject">
    <w:name w:val="annotation subject"/>
    <w:basedOn w:val="CommentText"/>
    <w:next w:val="CommentText"/>
    <w:link w:val="CommentSubjectChar"/>
    <w:semiHidden/>
    <w:unhideWhenUsed/>
    <w:rsid w:val="0068333D"/>
    <w:rPr>
      <w:rFonts w:eastAsiaTheme="minorHAnsi"/>
      <w:b/>
      <w:bCs/>
    </w:rPr>
  </w:style>
  <w:style w:type="character" w:customStyle="1" w:styleId="CommentSubjectChar">
    <w:name w:val="Comment Subject Char"/>
    <w:basedOn w:val="CommentTextChar"/>
    <w:link w:val="CommentSubject"/>
    <w:semiHidden/>
    <w:rsid w:val="0068333D"/>
    <w:rPr>
      <w:rFonts w:eastAsia="SimSu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139668">
      <w:bodyDiv w:val="1"/>
      <w:marLeft w:val="0"/>
      <w:marRight w:val="0"/>
      <w:marTop w:val="0"/>
      <w:marBottom w:val="0"/>
      <w:divBdr>
        <w:top w:val="none" w:sz="0" w:space="0" w:color="auto"/>
        <w:left w:val="none" w:sz="0" w:space="0" w:color="auto"/>
        <w:bottom w:val="none" w:sz="0" w:space="0" w:color="auto"/>
        <w:right w:val="none" w:sz="0" w:space="0" w:color="auto"/>
      </w:divBdr>
    </w:div>
    <w:div w:id="1060595061">
      <w:bodyDiv w:val="1"/>
      <w:marLeft w:val="0"/>
      <w:marRight w:val="0"/>
      <w:marTop w:val="0"/>
      <w:marBottom w:val="0"/>
      <w:divBdr>
        <w:top w:val="none" w:sz="0" w:space="0" w:color="auto"/>
        <w:left w:val="none" w:sz="0" w:space="0" w:color="auto"/>
        <w:bottom w:val="none" w:sz="0" w:space="0" w:color="auto"/>
        <w:right w:val="none" w:sz="0" w:space="0" w:color="auto"/>
      </w:divBdr>
    </w:div>
    <w:div w:id="1121607422">
      <w:bodyDiv w:val="1"/>
      <w:marLeft w:val="0"/>
      <w:marRight w:val="0"/>
      <w:marTop w:val="0"/>
      <w:marBottom w:val="0"/>
      <w:divBdr>
        <w:top w:val="none" w:sz="0" w:space="0" w:color="auto"/>
        <w:left w:val="none" w:sz="0" w:space="0" w:color="auto"/>
        <w:bottom w:val="none" w:sz="0" w:space="0" w:color="auto"/>
        <w:right w:val="none" w:sz="0" w:space="0" w:color="auto"/>
      </w:divBdr>
    </w:div>
    <w:div w:id="1467358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6AB6B-3D3B-DF49-A264-2E41B3D0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9292</Words>
  <Characters>52971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Indianapolis</vt:lpstr>
    </vt:vector>
  </TitlesOfParts>
  <Company>Portland State University</Company>
  <LinksUpToDate>false</LinksUpToDate>
  <CharactersWithSpaces>62139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Indianapolis</dc:title>
  <dc:creator>Jamaal Green</dc:creator>
  <cp:lastModifiedBy>Microsoft Office User</cp:lastModifiedBy>
  <cp:revision>3</cp:revision>
  <dcterms:created xsi:type="dcterms:W3CDTF">2020-03-06T15:51:00Z</dcterms:created>
  <dcterms:modified xsi:type="dcterms:W3CDTF">2020-04-17T19:21:00Z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id="ddDWcwKe"/&gt;&lt;style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